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B2F94">
      <w:pPr>
        <w:spacing w:before="480" w:after="480" w:line="288" w:lineRule="auto"/>
        <w:ind w:left="0"/>
        <w:jc w:val="both"/>
        <w:rPr>
          <w:rFonts w:hint="default" w:ascii="黑体" w:hAnsi="黑体" w:eastAsia="黑体" w:cs="黑体"/>
          <w:b w:val="0"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  <w:t>附件1</w:t>
      </w:r>
      <w:bookmarkStart w:id="0" w:name="_GoBack"/>
      <w:bookmarkEnd w:id="0"/>
    </w:p>
    <w:p w14:paraId="67DF3826">
      <w:pPr>
        <w:spacing w:before="480" w:after="480" w:line="288" w:lineRule="auto"/>
        <w:ind w:left="0"/>
        <w:jc w:val="center"/>
        <w:rPr>
          <w:rFonts w:hint="eastAsia" w:ascii="黑体" w:hAnsi="黑体" w:eastAsia="黑体" w:cs="黑体"/>
          <w:b w:val="0"/>
          <w:bCs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</w:rPr>
        <w:t>硬科技企业成长赋能专项行动简介</w:t>
      </w:r>
    </w:p>
    <w:p w14:paraId="3AEEFE42">
      <w:pPr>
        <w:spacing w:before="120" w:after="120" w:line="360" w:lineRule="auto"/>
        <w:ind w:left="0" w:leftChars="0" w:firstLine="638" w:firstLineChars="228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硬科技企业成长赋能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是在广东省科学技术厅鼓励支持下，</w:t>
      </w:r>
      <w:r>
        <w:rPr>
          <w:rFonts w:hint="eastAsia" w:ascii="仿宋" w:hAnsi="仿宋" w:eastAsia="仿宋" w:cs="仿宋"/>
          <w:sz w:val="28"/>
          <w:szCs w:val="28"/>
        </w:rPr>
        <w:t>由粤港澳大湾区国家技术创新中心、广东省科学院、广东省生产力促进中心、中国生产力促进中心协会、广东省科技金融促进会和农业银行广东省分行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牵头组织，联合</w:t>
      </w:r>
      <w:r>
        <w:rPr>
          <w:rFonts w:hint="eastAsia" w:ascii="仿宋" w:hAnsi="仿宋" w:eastAsia="仿宋" w:cs="仿宋"/>
          <w:sz w:val="28"/>
          <w:szCs w:val="28"/>
        </w:rPr>
        <w:t>工信部一所、中国生产力促进中心协会、广东省生产力促进中心、广东股权交易中心、粤港澳大湾区生产力促进服务联盟等单位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共同推动的专项行动</w:t>
      </w:r>
      <w:r>
        <w:rPr>
          <w:rFonts w:hint="eastAsia" w:ascii="仿宋" w:hAnsi="仿宋" w:eastAsia="仿宋" w:cs="仿宋"/>
          <w:sz w:val="28"/>
          <w:szCs w:val="28"/>
        </w:rPr>
        <w:t>，是广东省深入落实科技自立自强战略、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建设现代化产业体系和</w:t>
      </w:r>
      <w:r>
        <w:rPr>
          <w:rFonts w:hint="eastAsia" w:ascii="仿宋" w:hAnsi="仿宋" w:eastAsia="仿宋" w:cs="仿宋"/>
          <w:sz w:val="28"/>
          <w:szCs w:val="28"/>
        </w:rPr>
        <w:t>培育壮大新质生产力的重要举措。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专项</w:t>
      </w:r>
      <w:r>
        <w:rPr>
          <w:rFonts w:hint="eastAsia" w:ascii="仿宋" w:hAnsi="仿宋" w:eastAsia="仿宋" w:cs="仿宋"/>
          <w:sz w:val="28"/>
          <w:szCs w:val="28"/>
        </w:rPr>
        <w:t>行动聚焦人工智能、半导体、生物医药、高端装备等硬科技赛道，覆盖企业初创、成长、规模化全发展生命周期，搭建技术、金融、人才、市场、政策“五位一体”全周期赋能体系，靶向破解企业发展痛点难点，打通创新链、产业链、资金链、人才链融合堵点，推动产业链补链、强链、延链，助力地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科技</w:t>
      </w:r>
      <w:r>
        <w:rPr>
          <w:rFonts w:hint="eastAsia" w:ascii="仿宋" w:hAnsi="仿宋" w:eastAsia="仿宋" w:cs="仿宋"/>
          <w:sz w:val="28"/>
          <w:szCs w:val="28"/>
        </w:rPr>
        <w:t>招商、集聚优质产业资源，夯实粤港澳大湾区硬科技产业发展根基。</w:t>
      </w:r>
    </w:p>
    <w:p w14:paraId="2C1D4DF8">
      <w:pPr>
        <w:spacing w:before="120" w:after="120" w:line="360" w:lineRule="auto"/>
        <w:ind w:left="0" w:leftChars="0" w:firstLine="638" w:firstLineChars="228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专项行动创新构建“精准识别、资源匹配、分类赋能、长效服务”闭环工作机制，坚持公益普惠的服务原则，推行“一企一策”定制化、差异化服务。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专项</w:t>
      </w:r>
      <w:r>
        <w:rPr>
          <w:rFonts w:hint="eastAsia" w:ascii="仿宋" w:hAnsi="仿宋" w:eastAsia="仿宋" w:cs="仿宋"/>
          <w:sz w:val="28"/>
          <w:szCs w:val="28"/>
        </w:rPr>
        <w:t>行动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立足湾区、面向全国、连通国际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作为</w:t>
      </w:r>
      <w:r>
        <w:rPr>
          <w:rFonts w:hint="eastAsia" w:ascii="仿宋" w:hAnsi="仿宋" w:eastAsia="仿宋" w:cs="仿宋"/>
          <w:sz w:val="28"/>
          <w:szCs w:val="28"/>
        </w:rPr>
        <w:t>发展定位，以一站式、全链条、专业化赋能服务，补齐企业成长发展短板，整合上下游产业资源，集聚高端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创新</w:t>
      </w:r>
      <w:r>
        <w:rPr>
          <w:rFonts w:hint="eastAsia" w:ascii="仿宋" w:hAnsi="仿宋" w:eastAsia="仿宋" w:cs="仿宋"/>
          <w:sz w:val="28"/>
          <w:szCs w:val="28"/>
        </w:rPr>
        <w:t>要素，持续完善区域硬科技产业生态，全力推动企业高质量、可持续发展。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其赋能服务的重点和特色主要体现在：</w:t>
      </w:r>
    </w:p>
    <w:p w14:paraId="7FA12532">
      <w:pPr>
        <w:spacing w:before="120" w:after="120" w:line="360" w:lineRule="auto"/>
        <w:ind w:left="0" w:leftChars="0" w:firstLine="641" w:firstLineChars="228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一、</w:t>
      </w:r>
      <w:r>
        <w:rPr>
          <w:rFonts w:hint="eastAsia" w:ascii="仿宋" w:hAnsi="仿宋" w:eastAsia="仿宋" w:cs="仿宋"/>
          <w:b/>
          <w:sz w:val="28"/>
          <w:szCs w:val="28"/>
        </w:rPr>
        <w:t>聚焦技术赋能，筑牢创新根基</w:t>
      </w:r>
    </w:p>
    <w:p w14:paraId="47EFDA58">
      <w:pPr>
        <w:spacing w:before="120" w:after="120" w:line="360" w:lineRule="auto"/>
        <w:ind w:left="0" w:leftChars="0" w:firstLine="638" w:firstLineChars="228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深度整合高校、科研院所、重点实验室优质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创新</w:t>
      </w:r>
      <w:r>
        <w:rPr>
          <w:rFonts w:hint="eastAsia" w:ascii="仿宋" w:hAnsi="仿宋" w:eastAsia="仿宋" w:cs="仿宋"/>
          <w:sz w:val="28"/>
          <w:szCs w:val="28"/>
        </w:rPr>
        <w:t>资源，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帮助企业高效链接资源，开展</w:t>
      </w:r>
      <w:r>
        <w:rPr>
          <w:rFonts w:hint="eastAsia" w:ascii="仿宋" w:hAnsi="仿宋" w:eastAsia="仿宋" w:cs="仿宋"/>
          <w:sz w:val="28"/>
          <w:szCs w:val="28"/>
        </w:rPr>
        <w:t>产学研协同攻关、大型仪器共享、小试中试落地、生产工艺优化等核心服务，配套开展专利布局、成果转化、行业认证、标准制定等精准辅导，助力企业突破关键核心技术瓶颈，加速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科技</w:t>
      </w:r>
      <w:r>
        <w:rPr>
          <w:rFonts w:hint="eastAsia" w:ascii="仿宋" w:hAnsi="仿宋" w:eastAsia="仿宋" w:cs="仿宋"/>
          <w:sz w:val="28"/>
          <w:szCs w:val="28"/>
        </w:rPr>
        <w:t>成果产业化落地，补齐产业技术短板，全面提升企业自主创新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核心能力。</w:t>
      </w:r>
    </w:p>
    <w:p w14:paraId="1576BEC8">
      <w:pPr>
        <w:spacing w:before="120" w:after="120" w:line="360" w:lineRule="auto"/>
        <w:ind w:left="0" w:leftChars="0" w:firstLine="641" w:firstLineChars="228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二、</w:t>
      </w:r>
      <w:r>
        <w:rPr>
          <w:rFonts w:hint="eastAsia" w:ascii="仿宋" w:hAnsi="仿宋" w:eastAsia="仿宋" w:cs="仿宋"/>
          <w:b/>
          <w:sz w:val="28"/>
          <w:szCs w:val="28"/>
        </w:rPr>
        <w:t>聚焦金融赋能，破解融资难题</w:t>
      </w:r>
    </w:p>
    <w:p w14:paraId="39509DFE">
      <w:pPr>
        <w:spacing w:before="120" w:after="120" w:line="360" w:lineRule="auto"/>
        <w:ind w:left="0" w:leftChars="0" w:firstLine="638" w:firstLineChars="228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针对硬科技企业轻资产、高投入、长周期的行业特性，推出专属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的硬科技企业</w:t>
      </w:r>
      <w:r>
        <w:rPr>
          <w:rFonts w:hint="eastAsia" w:ascii="仿宋" w:hAnsi="仿宋" w:eastAsia="仿宋" w:cs="仿宋"/>
          <w:sz w:val="28"/>
          <w:szCs w:val="28"/>
        </w:rPr>
        <w:t>低息信贷、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授信，</w:t>
      </w:r>
      <w:r>
        <w:rPr>
          <w:rFonts w:hint="eastAsia" w:ascii="仿宋" w:hAnsi="仿宋" w:eastAsia="仿宋" w:cs="仿宋"/>
          <w:sz w:val="28"/>
          <w:szCs w:val="28"/>
        </w:rPr>
        <w:t>供应链金融、融资租赁等特色金融服务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设立股交中心硬科技企业挂牌交易专属板块，</w:t>
      </w:r>
      <w:r>
        <w:rPr>
          <w:rFonts w:hint="eastAsia" w:ascii="仿宋" w:hAnsi="仿宋" w:eastAsia="仿宋" w:cs="仿宋"/>
          <w:sz w:val="28"/>
          <w:szCs w:val="28"/>
        </w:rPr>
        <w:t>常态化组织投融资对接路演，对接头部创投机构，全方位提供IPO辅导、合规体系搭建、政策资金申报、科技风险保险等配套服务，有效缓解企业融资难、融资贵问题，为企业技术迭代、产能扩容、项目落地提供金融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支撑服务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4C0D9FDD">
      <w:pPr>
        <w:spacing w:before="120" w:after="120" w:line="360" w:lineRule="auto"/>
        <w:ind w:left="0" w:leftChars="0" w:firstLine="641" w:firstLineChars="228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三、</w:t>
      </w:r>
      <w:r>
        <w:rPr>
          <w:rFonts w:hint="eastAsia" w:ascii="仿宋" w:hAnsi="仿宋" w:eastAsia="仿宋" w:cs="仿宋"/>
          <w:b/>
          <w:sz w:val="28"/>
          <w:szCs w:val="28"/>
        </w:rPr>
        <w:t>聚焦人才赋能，夯实人才支撑</w:t>
      </w:r>
    </w:p>
    <w:p w14:paraId="312B9569">
      <w:pPr>
        <w:spacing w:before="120" w:after="120" w:line="360" w:lineRule="auto"/>
        <w:ind w:left="0" w:leftChars="0" w:firstLine="638" w:firstLineChars="228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联动国内外高校、科研院所及海外优质科创资源，常态化开展精准化引才对接活动。通过高管专题研修、技术骨干实训、行业专家一对一指导等方式提升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企业创新</w:t>
      </w:r>
      <w:r>
        <w:rPr>
          <w:rFonts w:hint="eastAsia" w:ascii="仿宋" w:hAnsi="仿宋" w:eastAsia="仿宋" w:cs="仿宋"/>
          <w:sz w:val="28"/>
          <w:szCs w:val="28"/>
        </w:rPr>
        <w:t>团队专业素养，量身定制股权激励、薪酬优化等人才激励方案，全方位助力企业引才、育才、留才，为企业发展和产业升级提供核心人才保障。</w:t>
      </w:r>
    </w:p>
    <w:p w14:paraId="497B9CED">
      <w:pPr>
        <w:spacing w:before="120" w:after="120" w:line="360" w:lineRule="auto"/>
        <w:ind w:left="0" w:leftChars="0" w:firstLine="641" w:firstLineChars="228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四、</w:t>
      </w:r>
      <w:r>
        <w:rPr>
          <w:rFonts w:hint="eastAsia" w:ascii="仿宋" w:hAnsi="仿宋" w:eastAsia="仿宋" w:cs="仿宋"/>
          <w:b/>
          <w:sz w:val="28"/>
          <w:szCs w:val="28"/>
        </w:rPr>
        <w:t>聚焦市场赋能，拓宽发展空间</w:t>
      </w:r>
    </w:p>
    <w:p w14:paraId="24AE9F88">
      <w:pPr>
        <w:spacing w:before="120" w:after="120" w:line="360" w:lineRule="auto"/>
        <w:ind w:left="0" w:leftChars="0" w:firstLine="638" w:firstLineChars="228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搭建专业化产业链供需对接公共平台，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借助港澳国际化窗口与跨境链接优势，</w:t>
      </w:r>
      <w:r>
        <w:rPr>
          <w:rFonts w:hint="eastAsia" w:ascii="仿宋" w:hAnsi="仿宋" w:eastAsia="仿宋" w:cs="仿宋"/>
          <w:sz w:val="28"/>
          <w:szCs w:val="28"/>
        </w:rPr>
        <w:t>联动央企、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重点</w:t>
      </w:r>
      <w:r>
        <w:rPr>
          <w:rFonts w:hint="eastAsia" w:ascii="仿宋" w:hAnsi="仿宋" w:eastAsia="仿宋" w:cs="仿宋"/>
          <w:sz w:val="28"/>
          <w:szCs w:val="28"/>
        </w:rPr>
        <w:t>国企、行业龙头上市公司等优质市场主体，助力企业开拓国内外多元化市场。依托各类高端行业展会、主流传播渠道，提供品牌塑造、成果发布、市场推广一体化服务，持续提升企业行业知名度与核心竞争力。同时整合全域产业资源，落地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转化</w:t>
      </w:r>
      <w:r>
        <w:rPr>
          <w:rFonts w:hint="eastAsia" w:ascii="仿宋" w:hAnsi="仿宋" w:eastAsia="仿宋" w:cs="仿宋"/>
          <w:sz w:val="28"/>
          <w:szCs w:val="28"/>
        </w:rPr>
        <w:t>优质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科技成果</w:t>
      </w:r>
      <w:r>
        <w:rPr>
          <w:rFonts w:hint="eastAsia" w:ascii="仿宋" w:hAnsi="仿宋" w:eastAsia="仿宋" w:cs="仿宋"/>
          <w:sz w:val="28"/>
          <w:szCs w:val="28"/>
        </w:rPr>
        <w:t>，高效服务地方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科技</w:t>
      </w:r>
      <w:r>
        <w:rPr>
          <w:rFonts w:hint="eastAsia" w:ascii="仿宋" w:hAnsi="仿宋" w:eastAsia="仿宋" w:cs="仿宋"/>
          <w:sz w:val="28"/>
          <w:szCs w:val="28"/>
        </w:rPr>
        <w:t>招商，推动区域产业集群化、协同化、规模化发展。</w:t>
      </w:r>
    </w:p>
    <w:p w14:paraId="629B295F">
      <w:pPr>
        <w:spacing w:before="120" w:after="120" w:line="360" w:lineRule="auto"/>
        <w:ind w:left="0" w:leftChars="0" w:firstLine="641" w:firstLineChars="228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五、</w:t>
      </w:r>
      <w:r>
        <w:rPr>
          <w:rFonts w:hint="eastAsia" w:ascii="仿宋" w:hAnsi="仿宋" w:eastAsia="仿宋" w:cs="仿宋"/>
          <w:b/>
          <w:sz w:val="28"/>
          <w:szCs w:val="28"/>
        </w:rPr>
        <w:t>聚焦政策赋能，优化发展生态</w:t>
      </w:r>
    </w:p>
    <w:p w14:paraId="76F40FC2">
      <w:pPr>
        <w:spacing w:before="120" w:after="120" w:line="360" w:lineRule="auto"/>
        <w:ind w:left="0" w:leftChars="0" w:firstLine="638" w:firstLineChars="228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依托智能政策服务数字化系统，实现政策精准推送、专业解读、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精准</w:t>
      </w:r>
      <w:r>
        <w:rPr>
          <w:rFonts w:hint="eastAsia" w:ascii="仿宋" w:hAnsi="仿宋" w:eastAsia="仿宋" w:cs="仿宋"/>
          <w:sz w:val="28"/>
          <w:szCs w:val="28"/>
        </w:rPr>
        <w:t>匹配，全面畅通政企双向沟通对接渠道。协助企业申报园区场地、产业配套等专项优惠，持续优化区域科创营商环境。精准对接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国家和省的</w:t>
      </w:r>
      <w:r>
        <w:rPr>
          <w:rFonts w:hint="eastAsia" w:ascii="仿宋" w:hAnsi="仿宋" w:eastAsia="仿宋" w:cs="仿宋"/>
          <w:sz w:val="28"/>
          <w:szCs w:val="28"/>
        </w:rPr>
        <w:t>科技专项、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技术改造</w:t>
      </w:r>
      <w:r>
        <w:rPr>
          <w:rFonts w:hint="eastAsia" w:ascii="仿宋" w:hAnsi="仿宋" w:eastAsia="仿宋" w:cs="仿宋"/>
          <w:sz w:val="28"/>
          <w:szCs w:val="28"/>
        </w:rPr>
        <w:t>、示范工程等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计划</w:t>
      </w:r>
      <w:r>
        <w:rPr>
          <w:rFonts w:hint="eastAsia" w:ascii="仿宋" w:hAnsi="仿宋" w:eastAsia="仿宋" w:cs="仿宋"/>
          <w:sz w:val="28"/>
          <w:szCs w:val="28"/>
        </w:rPr>
        <w:t>，系统性辅导企业申报产业扶持资金、科创专项补贴、税收减免等政策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扶持项目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帮助</w:t>
      </w:r>
      <w:r>
        <w:rPr>
          <w:rFonts w:hint="eastAsia" w:ascii="仿宋" w:hAnsi="仿宋" w:eastAsia="仿宋" w:cs="仿宋"/>
          <w:sz w:val="28"/>
          <w:szCs w:val="28"/>
        </w:rPr>
        <w:t>企业争创高新技术、专精特新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科技创新</w:t>
      </w:r>
      <w:r>
        <w:rPr>
          <w:rFonts w:hint="eastAsia" w:ascii="仿宋" w:hAnsi="仿宋" w:eastAsia="仿宋" w:cs="仿宋"/>
          <w:sz w:val="28"/>
          <w:szCs w:val="28"/>
        </w:rPr>
        <w:t>等各类资质荣誉，全方位提升企业科创能级与行业认可度。</w:t>
      </w:r>
    </w:p>
    <w:p w14:paraId="3A61EC3C">
      <w:pPr>
        <w:spacing w:before="120" w:after="120" w:line="360" w:lineRule="auto"/>
        <w:ind w:left="0" w:leftChars="0" w:firstLine="638" w:firstLineChars="228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专项行动在“十五五”期间持续常态化落地推进，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将</w:t>
      </w:r>
      <w:r>
        <w:rPr>
          <w:rFonts w:hint="eastAsia" w:ascii="仿宋" w:hAnsi="仿宋" w:eastAsia="仿宋" w:cs="仿宋"/>
          <w:sz w:val="28"/>
          <w:szCs w:val="28"/>
        </w:rPr>
        <w:t>定期发布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硬科技产业</w:t>
      </w:r>
      <w:r>
        <w:rPr>
          <w:rFonts w:hint="eastAsia" w:ascii="仿宋" w:hAnsi="仿宋" w:eastAsia="仿宋" w:cs="仿宋"/>
          <w:sz w:val="28"/>
          <w:szCs w:val="28"/>
        </w:rPr>
        <w:t>发展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蓝</w:t>
      </w:r>
      <w:r>
        <w:rPr>
          <w:rFonts w:hint="eastAsia" w:ascii="仿宋" w:hAnsi="仿宋" w:eastAsia="仿宋" w:cs="仿宋"/>
          <w:sz w:val="28"/>
          <w:szCs w:val="28"/>
        </w:rPr>
        <w:t>皮书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》</w:t>
      </w:r>
      <w:r>
        <w:rPr>
          <w:rFonts w:hint="eastAsia" w:ascii="仿宋" w:hAnsi="仿宋" w:eastAsia="仿宋" w:cs="仿宋"/>
          <w:sz w:val="28"/>
          <w:szCs w:val="28"/>
        </w:rPr>
        <w:t>与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硬科技</w:t>
      </w:r>
      <w:r>
        <w:rPr>
          <w:rFonts w:hint="eastAsia" w:ascii="仿宋" w:hAnsi="仿宋" w:eastAsia="仿宋" w:cs="仿宋"/>
          <w:sz w:val="28"/>
          <w:szCs w:val="28"/>
        </w:rPr>
        <w:t>标杆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企业</w:t>
      </w:r>
      <w:r>
        <w:rPr>
          <w:rFonts w:hint="eastAsia" w:ascii="仿宋" w:hAnsi="仿宋" w:eastAsia="仿宋" w:cs="仿宋"/>
          <w:sz w:val="28"/>
          <w:szCs w:val="28"/>
        </w:rPr>
        <w:t>榜单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》</w:t>
      </w:r>
      <w:r>
        <w:rPr>
          <w:rFonts w:hint="eastAsia" w:ascii="仿宋" w:hAnsi="仿宋" w:eastAsia="仿宋" w:cs="仿宋"/>
          <w:sz w:val="28"/>
          <w:szCs w:val="28"/>
        </w:rPr>
        <w:t>，持续推动硬科技产业集群提质增效、迭代升级，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提升</w:t>
      </w:r>
      <w:r>
        <w:rPr>
          <w:rFonts w:hint="eastAsia" w:ascii="仿宋" w:hAnsi="仿宋" w:eastAsia="仿宋" w:cs="仿宋"/>
          <w:sz w:val="28"/>
          <w:szCs w:val="28"/>
        </w:rPr>
        <w:t>产业链补链强链固链成效，广泛集聚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国内外</w:t>
      </w:r>
      <w:r>
        <w:rPr>
          <w:rFonts w:hint="eastAsia" w:ascii="仿宋" w:hAnsi="仿宋" w:eastAsia="仿宋" w:cs="仿宋"/>
          <w:sz w:val="28"/>
          <w:szCs w:val="28"/>
        </w:rPr>
        <w:t>高端科创资源，助力广东省构建现代化高质量硬科技产业体系，加快建成具有全球影响力的硬科技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产业</w:t>
      </w:r>
      <w:r>
        <w:rPr>
          <w:rFonts w:hint="eastAsia" w:ascii="仿宋" w:hAnsi="仿宋" w:eastAsia="仿宋" w:cs="仿宋"/>
          <w:sz w:val="28"/>
          <w:szCs w:val="28"/>
        </w:rPr>
        <w:t>高地。</w:t>
      </w:r>
    </w:p>
    <w:p w14:paraId="75528948">
      <w:pPr>
        <w:spacing w:before="120" w:after="120" w:line="360" w:lineRule="auto"/>
        <w:ind w:left="0"/>
        <w:jc w:val="left"/>
        <w:rPr>
          <w:rFonts w:hint="eastAsia" w:ascii="仿宋" w:hAnsi="仿宋" w:eastAsia="仿宋" w:cs="仿宋"/>
          <w:sz w:val="28"/>
          <w:szCs w:val="28"/>
        </w:rPr>
      </w:pPr>
    </w:p>
    <w:sectPr>
      <w:headerReference r:id="rId3" w:type="default"/>
      <w:footerReference r:id="rId4" w:type="default"/>
      <w:pgSz w:w="11905" w:h="16840"/>
      <w:pgMar w:top="1440" w:right="1485" w:bottom="1440" w:left="16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2171FF"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F007E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F007E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81727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BA7538"/>
    <w:rsid w:val="0EB52D6A"/>
    <w:rsid w:val="0F9F69E6"/>
    <w:rsid w:val="108C6657"/>
    <w:rsid w:val="10F95E05"/>
    <w:rsid w:val="1193566D"/>
    <w:rsid w:val="1C2E319B"/>
    <w:rsid w:val="1EC05AB5"/>
    <w:rsid w:val="2248738E"/>
    <w:rsid w:val="258F1D8E"/>
    <w:rsid w:val="28CB7C6C"/>
    <w:rsid w:val="298A47BE"/>
    <w:rsid w:val="2BAC62BA"/>
    <w:rsid w:val="30C47C02"/>
    <w:rsid w:val="35A54D94"/>
    <w:rsid w:val="36BC4955"/>
    <w:rsid w:val="3D843884"/>
    <w:rsid w:val="48096AF9"/>
    <w:rsid w:val="48E86820"/>
    <w:rsid w:val="4AA009A8"/>
    <w:rsid w:val="50DC4F6B"/>
    <w:rsid w:val="53723D8F"/>
    <w:rsid w:val="5F0D0765"/>
    <w:rsid w:val="6309447C"/>
    <w:rsid w:val="66A80E51"/>
    <w:rsid w:val="66EC51E2"/>
    <w:rsid w:val="67072F5F"/>
    <w:rsid w:val="6CED5810"/>
    <w:rsid w:val="71A566B9"/>
    <w:rsid w:val="73DF4DC9"/>
    <w:rsid w:val="79936250"/>
    <w:rsid w:val="7AB94F83"/>
    <w:rsid w:val="7CC231FE"/>
    <w:rsid w:val="7E1A3F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1632</Words>
  <Characters>1634</Characters>
  <TotalTime>0</TotalTime>
  <ScaleCrop>false</ScaleCrop>
  <LinksUpToDate>false</LinksUpToDate>
  <CharactersWithSpaces>1634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2026-05-30T02:55:00Z</dcterms:created>
  <dc:creator>Apache POI</dc:creator>
  <cp:lastModifiedBy>Salicorne</cp:lastModifiedBy>
  <dcterms:modified xsi:type="dcterms:W3CDTF">2026-06-01T08:47:22Z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{"Label":"1","ContentProducer":"001191110102MACQD9K64010000","ProduceID":"7645513063379651531","ReservedCode1":"","ContentPropagator":"","PropagateID":"","ReservedCode2":""}</vt:lpwstr>
  </property>
  <property fmtid="{D5CDD505-2E9C-101B-9397-08002B2CF9AE}" pid="3" name="KSOTemplateDocerSaveRecord">
    <vt:lpwstr>eyJoZGlkIjoiOTliMzgyNGFjNmM0MGYxZjgyODRhY2ZlYjY4MWQ4MWMiLCJ1c2VySWQiOiIxMTQ3Mjk1MjI1In0=</vt:lpwstr>
  </property>
  <property fmtid="{D5CDD505-2E9C-101B-9397-08002B2CF9AE}" pid="4" name="KSOProductBuildVer">
    <vt:lpwstr>2052-12.1.0.26375</vt:lpwstr>
  </property>
  <property fmtid="{D5CDD505-2E9C-101B-9397-08002B2CF9AE}" pid="5" name="ICV">
    <vt:lpwstr>70AB9126BF1A434DAC3C4D703D42B260_13</vt:lpwstr>
  </property>
</Properties>
</file>