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eastAsia="PMingLiU"/>
          <w:color w:val="000000"/>
          <w:sz w:val="28"/>
          <w:szCs w:val="28"/>
          <w:lang w:eastAsia="zh-TW"/>
        </w:rPr>
      </w:pPr>
    </w:p>
    <w:p>
      <w:pPr>
        <w:snapToGrid w:val="0"/>
        <w:spacing w:line="500" w:lineRule="exact"/>
        <w:jc w:val="center"/>
        <w:rPr>
          <w:rFonts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中山大学研究生课程教学大纲</w:t>
      </w:r>
    </w:p>
    <w:tbl>
      <w:tblPr>
        <w:tblStyle w:val="18"/>
        <w:tblW w:w="9640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631"/>
        <w:gridCol w:w="1681"/>
        <w:gridCol w:w="1119"/>
        <w:gridCol w:w="263"/>
        <w:gridCol w:w="1168"/>
        <w:gridCol w:w="850"/>
        <w:gridCol w:w="13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top w:val="single" w:color="auto" w:sz="8" w:space="0"/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中文名称</w:t>
            </w:r>
          </w:p>
        </w:tc>
        <w:tc>
          <w:tcPr>
            <w:tcW w:w="4431" w:type="dxa"/>
            <w:gridSpan w:val="3"/>
            <w:tcBorders>
              <w:top w:val="single" w:color="auto" w:sz="8" w:space="0"/>
            </w:tcBorders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有限域基础</w:t>
            </w:r>
          </w:p>
        </w:tc>
        <w:tc>
          <w:tcPr>
            <w:tcW w:w="1431" w:type="dxa"/>
            <w:gridSpan w:val="2"/>
            <w:tcBorders>
              <w:top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课程编号</w:t>
            </w:r>
          </w:p>
        </w:tc>
        <w:tc>
          <w:tcPr>
            <w:tcW w:w="2234" w:type="dxa"/>
            <w:gridSpan w:val="2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DCS5230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英文名称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8"/>
                <w:szCs w:val="28"/>
              </w:rPr>
              <w:t>Foundations and Applications of Finite Fields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总学时</w:t>
            </w:r>
          </w:p>
        </w:tc>
        <w:tc>
          <w:tcPr>
            <w:tcW w:w="5862" w:type="dxa"/>
            <w:gridSpan w:val="5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36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学时    其中实验课：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学时</w:t>
            </w:r>
          </w:p>
        </w:tc>
        <w:tc>
          <w:tcPr>
            <w:tcW w:w="850" w:type="dxa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学分</w:t>
            </w:r>
          </w:p>
        </w:tc>
        <w:tc>
          <w:tcPr>
            <w:tcW w:w="1384" w:type="dxa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开课院系</w:t>
            </w:r>
          </w:p>
        </w:tc>
        <w:tc>
          <w:tcPr>
            <w:tcW w:w="1631" w:type="dxa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计算机学院</w:t>
            </w:r>
          </w:p>
        </w:tc>
        <w:tc>
          <w:tcPr>
            <w:tcW w:w="1681" w:type="dxa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课程负责人</w:t>
            </w:r>
          </w:p>
        </w:tc>
        <w:tc>
          <w:tcPr>
            <w:tcW w:w="1119" w:type="dxa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韦宝典</w:t>
            </w:r>
          </w:p>
        </w:tc>
        <w:tc>
          <w:tcPr>
            <w:tcW w:w="1431" w:type="dxa"/>
            <w:gridSpan w:val="2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课程性质</w:t>
            </w:r>
          </w:p>
        </w:tc>
        <w:tc>
          <w:tcPr>
            <w:tcW w:w="2234" w:type="dxa"/>
            <w:gridSpan w:val="2"/>
            <w:tcBorders>
              <w:righ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□必修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52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授课团队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课程类别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□公共课     □专业基础课     □专业方向课</w:t>
            </w:r>
          </w:p>
          <w:p>
            <w:pPr>
              <w:spacing w:line="50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□专业技术实践课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sym w:font="Wingdings 2" w:char="0052"/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选修课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授课方式</w:t>
            </w:r>
          </w:p>
        </w:tc>
        <w:tc>
          <w:tcPr>
            <w:tcW w:w="3312" w:type="dxa"/>
            <w:gridSpan w:val="2"/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面授课程</w:t>
            </w:r>
          </w:p>
        </w:tc>
        <w:tc>
          <w:tcPr>
            <w:tcW w:w="1382" w:type="dxa"/>
            <w:gridSpan w:val="2"/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授课语言</w:t>
            </w:r>
          </w:p>
        </w:tc>
        <w:tc>
          <w:tcPr>
            <w:tcW w:w="3402" w:type="dxa"/>
            <w:gridSpan w:val="3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中文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考核方式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考察（展示+大报告）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1544" w:type="dxa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先修课</w:t>
            </w:r>
          </w:p>
          <w:p>
            <w:pPr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程要求</w:t>
            </w:r>
          </w:p>
        </w:tc>
        <w:tc>
          <w:tcPr>
            <w:tcW w:w="8096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线性代数、离散数学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640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教学目标（100字以内）</w:t>
            </w:r>
          </w:p>
          <w:p>
            <w:pPr>
              <w:spacing w:line="50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为计算机等相关专业研究生开设有限域课程，使学生能够掌握有限域理论的基本概念、基本内容和基本应用，为学习后继课程，如编码和密码学等，打下必备数学基础，培养学生的抽象思维能力、逻辑推理能力和自学能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7" w:hRule="atLeast"/>
        </w:trPr>
        <w:tc>
          <w:tcPr>
            <w:tcW w:w="9640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课程简介（教学内容及基本要求）</w:t>
            </w:r>
          </w:p>
          <w:p>
            <w:pPr>
              <w:spacing w:line="50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本课程授课内容分为四部分：相关的基础数学知识、群的概念和性质、环的概念和性质、有限域的性质和构造，具体描述如下。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一、基础数学：初等数论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1、线性同余方程 (1) 有解的充要条件；(2) (扩展)欧几里得算法。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2、线性同余方程组 (1) 有解的充要条件；(2) 中国剩余定理CRT。</w:t>
            </w:r>
          </w:p>
          <w:p>
            <w:pPr>
              <w:spacing w:line="500" w:lineRule="exact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  <w:u w:val="single"/>
                <w:lang w:val="en-US" w:eastAsia="zh-CN"/>
              </w:rPr>
              <w:t>思政：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用中国古人在数学上的贡献激发学生的爱国主义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3、二次同余方程组 (1) 欧拉函数、欧拉定理、欧拉准则，以RSA、Rabin、快速RSA算法为应用例子 (2) Legendre符号与Jacobi符号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5" w:hRule="atLeast"/>
        </w:trPr>
        <w:tc>
          <w:tcPr>
            <w:tcW w:w="9640" w:type="dxa"/>
            <w:gridSpan w:val="8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二、群</w:t>
            </w:r>
          </w:p>
          <w:p>
            <w:pPr>
              <w:spacing w:line="500" w:lineRule="exact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sz w:val="28"/>
                <w:szCs w:val="28"/>
              </w:rPr>
              <w:t>1、基本概念 (1)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定义与例子 (2)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Abel群 (3)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元素的逆 (4)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元素幂运算及性质 (5)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同态与同构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  <w:u w:val="single"/>
                <w:lang w:val="en-US" w:eastAsia="zh-CN"/>
              </w:rPr>
              <w:t>思政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：年轻先驱事例激励学生勇于创新。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2、子群 (1)定义、例子及相互关系 (2)子群判定 (3)陪集的定义及性质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3、循环群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三、环与整环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1、环 (1)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环的定义和例子 (2)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子环与扩环及相应例子 (3)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环的整除性</w:t>
            </w:r>
          </w:p>
          <w:p>
            <w:pPr>
              <w:spacing w:line="500" w:lineRule="exact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eastAsia="仿宋_GB2312"/>
                <w:sz w:val="28"/>
                <w:szCs w:val="28"/>
              </w:rPr>
              <w:t>2、环的性质 (1)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加法消去律 (2)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环的同态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、同构</w:t>
            </w:r>
          </w:p>
          <w:p>
            <w:pPr>
              <w:spacing w:line="500" w:lineRule="exact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  <w:u w:val="single"/>
                <w:lang w:val="en-US" w:eastAsia="zh-CN"/>
              </w:rPr>
              <w:t>思政：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借同构的思想引导学生在学习科研生活中力求去繁求简的原则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3、整环 (1)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零因子和乘法消去律、例子 (2)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整环的分解域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4、理想：定义、性质及例子 5、剩余类环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四、有限域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1、概念与性质 (1)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 xml:space="preserve">域、子域与扩域的概念与例子，剩余类域 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(2)主要性质1)乘法群与域的大小2)存在性与唯一性3)域的特征与自同构</w:t>
            </w:r>
          </w:p>
          <w:p>
            <w:pPr>
              <w:spacing w:line="500" w:lineRule="exact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  <w:u w:val="single"/>
                <w:lang w:val="en-US" w:eastAsia="zh-CN"/>
              </w:rPr>
              <w:t>思政：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借有限域的精确无误差特性培养学生科学严谨一丝不苟的精神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2、有限域的构造：不可约多项式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3、多项式的因式分解 (1)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Mobius变换域反变换 (2)</w:t>
            </w:r>
            <w:r>
              <w:rPr>
                <w:rFonts w:eastAsia="仿宋_GB2312"/>
                <w:sz w:val="28"/>
                <w:szCs w:val="28"/>
              </w:rPr>
              <w:tab/>
            </w:r>
            <w:r>
              <w:rPr>
                <w:rFonts w:eastAsia="仿宋_GB2312"/>
                <w:sz w:val="28"/>
                <w:szCs w:val="28"/>
              </w:rPr>
              <w:t>Berlekamp算法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4、Frobenius自同构 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5、特殊多项式：特征多项式、极小多项式、本原多项式 </w:t>
            </w:r>
          </w:p>
          <w:p>
            <w:p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6、迹和范及其在二次方程求解中的应用</w:t>
            </w:r>
          </w:p>
          <w:p>
            <w:pPr>
              <w:numPr>
                <w:numId w:val="0"/>
              </w:numPr>
              <w:spacing w:line="5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7、基：多项式基、对偶基与自对偶基、正规基</w:t>
            </w:r>
          </w:p>
          <w:p>
            <w:pPr>
              <w:numPr>
                <w:numId w:val="0"/>
              </w:numPr>
              <w:spacing w:line="500" w:lineRule="exact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</w:t>
            </w:r>
            <w:bookmarkStart w:id="0" w:name="_GoBack"/>
            <w:r>
              <w:rPr>
                <w:rFonts w:hint="eastAsia" w:eastAsia="仿宋_GB2312"/>
                <w:sz w:val="28"/>
                <w:szCs w:val="28"/>
                <w:u w:val="single"/>
                <w:lang w:val="en-US" w:eastAsia="zh-CN"/>
              </w:rPr>
              <w:t>思政：</w:t>
            </w:r>
            <w:bookmarkEnd w:id="0"/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课程结束之际指导学生正确看待付出与收获的关系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</w:trPr>
        <w:tc>
          <w:tcPr>
            <w:tcW w:w="1544" w:type="dxa"/>
            <w:tcBorders>
              <w:left w:val="single" w:color="auto" w:sz="8" w:space="0"/>
              <w:bottom w:val="single" w:color="auto" w:sz="12" w:space="0"/>
            </w:tcBorders>
          </w:tcPr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教材及主要参考书目、文献与资料</w:t>
            </w:r>
          </w:p>
        </w:tc>
        <w:tc>
          <w:tcPr>
            <w:tcW w:w="8096" w:type="dxa"/>
            <w:gridSpan w:val="7"/>
            <w:tcBorders>
              <w:bottom w:val="single" w:color="auto" w:sz="12" w:space="0"/>
              <w:right w:val="single" w:color="auto" w:sz="8" w:space="0"/>
            </w:tcBorders>
          </w:tcPr>
          <w:p>
            <w:pPr>
              <w:spacing w:line="24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教材：1. Zhe-xian Wan, Lectures on Finite Fields and Galois Rings, World Scientific Publishing Co. Pte. Ltd, 2006</w:t>
            </w:r>
          </w:p>
          <w:p>
            <w:pPr>
              <w:spacing w:line="500" w:lineRule="exact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主要参考书：2. Robert J.McElice;Finite Fields for Computer Scientists and Engineers，Boston: Kluwer Academic Publishers, 1987</w:t>
            </w:r>
          </w:p>
        </w:tc>
      </w:tr>
    </w:tbl>
    <w:p>
      <w:pPr>
        <w:snapToGrid w:val="0"/>
        <w:spacing w:line="50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24"/>
          <w:szCs w:val="24"/>
        </w:rPr>
        <w:t>注：每门课程都应填写此表。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153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ind w:firstLine="8120" w:firstLineChars="2900"/>
      <w:jc w:val="right"/>
      <w:rPr>
        <w:rStyle w:val="21"/>
        <w:sz w:val="28"/>
      </w:rPr>
    </w:pPr>
    <w:r>
      <w:rPr>
        <w:rStyle w:val="21"/>
        <w:sz w:val="28"/>
      </w:rPr>
      <w:t>—</w:t>
    </w:r>
    <w:r>
      <w:rPr>
        <w:rStyle w:val="21"/>
        <w:sz w:val="28"/>
      </w:rPr>
      <w:fldChar w:fldCharType="begin"/>
    </w:r>
    <w:r>
      <w:rPr>
        <w:rStyle w:val="21"/>
        <w:sz w:val="28"/>
      </w:rPr>
      <w:instrText xml:space="preserve">PAGE  </w:instrText>
    </w:r>
    <w:r>
      <w:rPr>
        <w:rStyle w:val="21"/>
        <w:sz w:val="28"/>
      </w:rPr>
      <w:fldChar w:fldCharType="separate"/>
    </w:r>
    <w:r>
      <w:rPr>
        <w:rStyle w:val="21"/>
        <w:sz w:val="28"/>
      </w:rPr>
      <w:t>2</w:t>
    </w:r>
    <w:r>
      <w:rPr>
        <w:rStyle w:val="21"/>
        <w:sz w:val="28"/>
      </w:rPr>
      <w:fldChar w:fldCharType="end"/>
    </w:r>
    <w:r>
      <w:rPr>
        <w:rStyle w:val="21"/>
        <w:sz w:val="28"/>
      </w:rPr>
      <w:t>—</w:t>
    </w:r>
  </w:p>
  <w:p>
    <w:pPr>
      <w:pStyle w:val="12"/>
      <w:framePr w:wrap="around" w:vAnchor="text" w:hAnchor="margin" w:xAlign="right" w:y="1"/>
      <w:ind w:right="360" w:firstLine="360"/>
      <w:rPr>
        <w:rStyle w:val="21"/>
      </w:rPr>
    </w:pPr>
  </w:p>
  <w:p>
    <w:pPr>
      <w:pStyle w:val="1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1</w:t>
    </w:r>
    <w:r>
      <w:rPr>
        <w:rStyle w:val="21"/>
      </w:rPr>
      <w:fldChar w:fldCharType="end"/>
    </w:r>
  </w:p>
  <w:p>
    <w:pPr>
      <w:pStyle w:val="1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M0ZTJhMDg4MjJiMWEyYjhmMGFlMjgxNWZkZDkyNWIifQ=="/>
    <w:docVar w:name="KSO_WPS_MARK_KEY" w:val="2d38ff24-2d01-4e90-bec2-6c489167d85d"/>
  </w:docVars>
  <w:rsids>
    <w:rsidRoot w:val="006B3C32"/>
    <w:rsid w:val="00006388"/>
    <w:rsid w:val="000457AC"/>
    <w:rsid w:val="00056194"/>
    <w:rsid w:val="000D5938"/>
    <w:rsid w:val="001078F2"/>
    <w:rsid w:val="001604EC"/>
    <w:rsid w:val="00171ABF"/>
    <w:rsid w:val="001B269D"/>
    <w:rsid w:val="001B43F1"/>
    <w:rsid w:val="002459C4"/>
    <w:rsid w:val="00261E5C"/>
    <w:rsid w:val="002A4B1D"/>
    <w:rsid w:val="002D6540"/>
    <w:rsid w:val="003102D9"/>
    <w:rsid w:val="0032144A"/>
    <w:rsid w:val="00332329"/>
    <w:rsid w:val="00346D42"/>
    <w:rsid w:val="003773FA"/>
    <w:rsid w:val="003775EE"/>
    <w:rsid w:val="003A76CD"/>
    <w:rsid w:val="003C5713"/>
    <w:rsid w:val="004019E3"/>
    <w:rsid w:val="004170EF"/>
    <w:rsid w:val="004B0B6E"/>
    <w:rsid w:val="004C08F1"/>
    <w:rsid w:val="004D7AC3"/>
    <w:rsid w:val="005077B4"/>
    <w:rsid w:val="00521814"/>
    <w:rsid w:val="00553052"/>
    <w:rsid w:val="0058555D"/>
    <w:rsid w:val="005863DE"/>
    <w:rsid w:val="005D6676"/>
    <w:rsid w:val="005D677B"/>
    <w:rsid w:val="00602D55"/>
    <w:rsid w:val="006428C0"/>
    <w:rsid w:val="00652E77"/>
    <w:rsid w:val="006608FE"/>
    <w:rsid w:val="00683357"/>
    <w:rsid w:val="006B3C32"/>
    <w:rsid w:val="0071558A"/>
    <w:rsid w:val="0077256B"/>
    <w:rsid w:val="00784B77"/>
    <w:rsid w:val="00793C19"/>
    <w:rsid w:val="007A20D9"/>
    <w:rsid w:val="007D09D2"/>
    <w:rsid w:val="007E4DA7"/>
    <w:rsid w:val="00806137"/>
    <w:rsid w:val="008307C5"/>
    <w:rsid w:val="00857019"/>
    <w:rsid w:val="00857D9F"/>
    <w:rsid w:val="0086121F"/>
    <w:rsid w:val="00863D75"/>
    <w:rsid w:val="008676B8"/>
    <w:rsid w:val="00904D53"/>
    <w:rsid w:val="00912D49"/>
    <w:rsid w:val="009620F6"/>
    <w:rsid w:val="00971F1B"/>
    <w:rsid w:val="00980FCB"/>
    <w:rsid w:val="009A2BF6"/>
    <w:rsid w:val="009B0FAA"/>
    <w:rsid w:val="009C6D96"/>
    <w:rsid w:val="009F47DE"/>
    <w:rsid w:val="00A1192E"/>
    <w:rsid w:val="00A17EA8"/>
    <w:rsid w:val="00A41194"/>
    <w:rsid w:val="00A55F25"/>
    <w:rsid w:val="00A9481B"/>
    <w:rsid w:val="00A9764C"/>
    <w:rsid w:val="00AB155B"/>
    <w:rsid w:val="00AB3F9C"/>
    <w:rsid w:val="00B31911"/>
    <w:rsid w:val="00B827E1"/>
    <w:rsid w:val="00B85213"/>
    <w:rsid w:val="00BC5DFB"/>
    <w:rsid w:val="00C02B5B"/>
    <w:rsid w:val="00C3532E"/>
    <w:rsid w:val="00C85A01"/>
    <w:rsid w:val="00C91399"/>
    <w:rsid w:val="00C9218C"/>
    <w:rsid w:val="00C97625"/>
    <w:rsid w:val="00CD3C84"/>
    <w:rsid w:val="00CD773E"/>
    <w:rsid w:val="00D13BE0"/>
    <w:rsid w:val="00D36075"/>
    <w:rsid w:val="00D40048"/>
    <w:rsid w:val="00D96032"/>
    <w:rsid w:val="00DB0A46"/>
    <w:rsid w:val="00DF06FD"/>
    <w:rsid w:val="00E044E1"/>
    <w:rsid w:val="00E60C92"/>
    <w:rsid w:val="00E71C21"/>
    <w:rsid w:val="00EB291A"/>
    <w:rsid w:val="00EF1858"/>
    <w:rsid w:val="00F31CD6"/>
    <w:rsid w:val="00F50B8B"/>
    <w:rsid w:val="00F72E1A"/>
    <w:rsid w:val="00F76354"/>
    <w:rsid w:val="00FC268B"/>
    <w:rsid w:val="00FD58D9"/>
    <w:rsid w:val="140377D0"/>
    <w:rsid w:val="17F84EE5"/>
    <w:rsid w:val="1D1C5363"/>
    <w:rsid w:val="34016939"/>
    <w:rsid w:val="4BE05FE4"/>
    <w:rsid w:val="6FE6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99" w:semiHidden="0" w:name="toc 1"/>
    <w:lsdException w:unhideWhenUsed="0" w:uiPriority="99" w:semiHidden="0" w:name="toc 2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nhideWhenUsed="0" w:uiPriority="99" w:semiHidden="0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0" w:name="Table Web 3" w:locked="1"/>
    <w:lsdException w:unhideWhenUsed="0" w:uiPriority="99" w:name="Balloon Text"/>
    <w:lsdException w:unhideWhenUsed="0" w:uiPriority="99" w:semiHidden="0" w:name="Table Grid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9"/>
    <w:pPr>
      <w:keepNext/>
      <w:keepLines/>
      <w:spacing w:before="260" w:after="260" w:line="416" w:lineRule="auto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4">
    <w:name w:val="heading 3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2"/>
    <w:semiHidden/>
    <w:uiPriority w:val="99"/>
    <w:pPr>
      <w:shd w:val="clear" w:color="auto" w:fill="000080"/>
    </w:pPr>
  </w:style>
  <w:style w:type="paragraph" w:styleId="6">
    <w:name w:val="annotation text"/>
    <w:basedOn w:val="1"/>
    <w:link w:val="46"/>
    <w:uiPriority w:val="99"/>
    <w:pPr>
      <w:jc w:val="left"/>
    </w:pPr>
    <w:rPr>
      <w:rFonts w:ascii="Calibri" w:hAnsi="Calibri"/>
      <w:szCs w:val="22"/>
    </w:rPr>
  </w:style>
  <w:style w:type="paragraph" w:styleId="7">
    <w:name w:val="Body Text Indent"/>
    <w:basedOn w:val="1"/>
    <w:link w:val="31"/>
    <w:uiPriority w:val="99"/>
    <w:pPr>
      <w:spacing w:after="120"/>
      <w:ind w:left="420" w:leftChars="200"/>
    </w:pPr>
  </w:style>
  <w:style w:type="paragraph" w:styleId="8">
    <w:name w:val="Plain Text"/>
    <w:basedOn w:val="1"/>
    <w:link w:val="36"/>
    <w:uiPriority w:val="99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28"/>
    <w:uiPriority w:val="99"/>
    <w:rPr>
      <w:rFonts w:ascii="宋体"/>
      <w:sz w:val="24"/>
    </w:rPr>
  </w:style>
  <w:style w:type="paragraph" w:styleId="10">
    <w:name w:val="Body Text Indent 2"/>
    <w:basedOn w:val="1"/>
    <w:link w:val="38"/>
    <w:uiPriority w:val="99"/>
    <w:pPr>
      <w:spacing w:after="120" w:line="480" w:lineRule="auto"/>
      <w:ind w:left="420" w:leftChars="200"/>
    </w:pPr>
    <w:rPr>
      <w:rFonts w:ascii="Calibri" w:hAnsi="Calibri"/>
      <w:szCs w:val="22"/>
    </w:rPr>
  </w:style>
  <w:style w:type="paragraph" w:styleId="11">
    <w:name w:val="Balloon Text"/>
    <w:basedOn w:val="1"/>
    <w:link w:val="35"/>
    <w:semiHidden/>
    <w:uiPriority w:val="99"/>
    <w:rPr>
      <w:sz w:val="18"/>
      <w:szCs w:val="18"/>
    </w:rPr>
  </w:style>
  <w:style w:type="paragraph" w:styleId="12">
    <w:name w:val="footer"/>
    <w:basedOn w:val="1"/>
    <w:link w:val="2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link w:val="3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iPriority w:val="99"/>
    <w:pPr>
      <w:spacing w:line="360" w:lineRule="auto"/>
    </w:pPr>
    <w:rPr>
      <w:rFonts w:ascii="Calibri" w:hAnsi="Calibri"/>
      <w:sz w:val="24"/>
      <w:szCs w:val="22"/>
    </w:rPr>
  </w:style>
  <w:style w:type="paragraph" w:styleId="15">
    <w:name w:val="Body Text Indent 3"/>
    <w:basedOn w:val="1"/>
    <w:link w:val="41"/>
    <w:uiPriority w:val="99"/>
    <w:pPr>
      <w:spacing w:after="120"/>
      <w:ind w:left="420" w:leftChars="200"/>
    </w:pPr>
    <w:rPr>
      <w:rFonts w:ascii="Calibri" w:hAnsi="Calibri"/>
      <w:kern w:val="0"/>
      <w:sz w:val="16"/>
      <w:szCs w:val="16"/>
    </w:rPr>
  </w:style>
  <w:style w:type="paragraph" w:styleId="16">
    <w:name w:val="toc 2"/>
    <w:basedOn w:val="1"/>
    <w:next w:val="1"/>
    <w:uiPriority w:val="99"/>
    <w:pPr>
      <w:spacing w:line="360" w:lineRule="auto"/>
      <w:ind w:left="420" w:leftChars="200"/>
    </w:pPr>
    <w:rPr>
      <w:rFonts w:ascii="Calibri" w:hAnsi="Calibri"/>
      <w:sz w:val="24"/>
      <w:szCs w:val="22"/>
    </w:rPr>
  </w:style>
  <w:style w:type="paragraph" w:styleId="17">
    <w:name w:val="annotation subject"/>
    <w:basedOn w:val="6"/>
    <w:next w:val="6"/>
    <w:link w:val="47"/>
    <w:uiPriority w:val="99"/>
    <w:rPr>
      <w:b/>
      <w:bCs/>
    </w:rPr>
  </w:style>
  <w:style w:type="table" w:styleId="19">
    <w:name w:val="Table Grid"/>
    <w:basedOn w:val="18"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uiPriority w:val="99"/>
    <w:rPr>
      <w:rFonts w:cs="Times New Roman"/>
    </w:rPr>
  </w:style>
  <w:style w:type="character" w:styleId="22">
    <w:name w:val="Hyperlink"/>
    <w:uiPriority w:val="99"/>
    <w:rPr>
      <w:rFonts w:cs="Times New Roman"/>
      <w:color w:val="0000FF"/>
      <w:u w:val="single"/>
    </w:rPr>
  </w:style>
  <w:style w:type="character" w:styleId="23">
    <w:name w:val="annotation reference"/>
    <w:uiPriority w:val="99"/>
    <w:rPr>
      <w:rFonts w:cs="Times New Roman"/>
      <w:sz w:val="21"/>
      <w:szCs w:val="21"/>
    </w:rPr>
  </w:style>
  <w:style w:type="character" w:customStyle="1" w:styleId="24">
    <w:name w:val="标题 1 字符"/>
    <w:link w:val="2"/>
    <w:locked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5">
    <w:name w:val="标题 2 字符"/>
    <w:link w:val="3"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6">
    <w:name w:val="标题 3 字符"/>
    <w:link w:val="4"/>
    <w:locked/>
    <w:uiPriority w:val="99"/>
    <w:rPr>
      <w:rFonts w:ascii="Calibri" w:hAnsi="Calibri" w:eastAsia="宋体" w:cs="Times New Roman"/>
      <w:b/>
      <w:bCs/>
      <w:sz w:val="32"/>
      <w:szCs w:val="32"/>
    </w:rPr>
  </w:style>
  <w:style w:type="paragraph" w:customStyle="1" w:styleId="27">
    <w:name w:val="样式 标题一 副标题 + 居中"/>
    <w:basedOn w:val="1"/>
    <w:uiPriority w:val="99"/>
    <w:pPr>
      <w:tabs>
        <w:tab w:val="left" w:pos="720"/>
        <w:tab w:val="left" w:pos="7740"/>
      </w:tabs>
      <w:spacing w:after="240" w:line="240" w:lineRule="atLeast"/>
      <w:ind w:left="357" w:firstLine="150" w:firstLineChars="150"/>
      <w:jc w:val="left"/>
    </w:pPr>
    <w:rPr>
      <w:rFonts w:ascii="宋体" w:eastAsia="黑体"/>
      <w:kern w:val="0"/>
      <w:sz w:val="44"/>
    </w:rPr>
  </w:style>
  <w:style w:type="character" w:customStyle="1" w:styleId="28">
    <w:name w:val="日期 字符"/>
    <w:link w:val="9"/>
    <w:locked/>
    <w:uiPriority w:val="99"/>
    <w:rPr>
      <w:rFonts w:ascii="宋体" w:hAnsi="Times New Roman" w:eastAsia="宋体" w:cs="Times New Roman"/>
      <w:sz w:val="20"/>
      <w:szCs w:val="20"/>
    </w:rPr>
  </w:style>
  <w:style w:type="character" w:customStyle="1" w:styleId="29">
    <w:name w:val="页脚 字符"/>
    <w:link w:val="12"/>
    <w:locked/>
    <w:uiPriority w:val="99"/>
    <w:rPr>
      <w:rFonts w:ascii="Times New Roman" w:hAnsi="Times New Roman" w:eastAsia="宋体" w:cs="Times New Roman"/>
      <w:sz w:val="20"/>
      <w:szCs w:val="20"/>
    </w:rPr>
  </w:style>
  <w:style w:type="paragraph" w:customStyle="1" w:styleId="30">
    <w:name w:val="1"/>
    <w:basedOn w:val="1"/>
    <w:next w:val="7"/>
    <w:uiPriority w:val="99"/>
    <w:pPr>
      <w:snapToGrid w:val="0"/>
      <w:spacing w:line="560" w:lineRule="atLeast"/>
      <w:ind w:firstLine="630"/>
    </w:pPr>
    <w:rPr>
      <w:sz w:val="31"/>
    </w:rPr>
  </w:style>
  <w:style w:type="character" w:customStyle="1" w:styleId="31">
    <w:name w:val="正文文本缩进 字符"/>
    <w:link w:val="7"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文档结构图 字符"/>
    <w:link w:val="5"/>
    <w:semiHidden/>
    <w:locked/>
    <w:uiPriority w:val="99"/>
    <w:rPr>
      <w:rFonts w:ascii="Times New Roman" w:hAnsi="Times New Roman" w:eastAsia="宋体" w:cs="Times New Roman"/>
      <w:sz w:val="20"/>
      <w:szCs w:val="20"/>
      <w:shd w:val="clear" w:color="auto" w:fill="000080"/>
    </w:rPr>
  </w:style>
  <w:style w:type="character" w:customStyle="1" w:styleId="33">
    <w:name w:val="Char"/>
    <w:uiPriority w:val="99"/>
    <w:rPr>
      <w:rFonts w:eastAsia="宋体"/>
      <w:kern w:val="2"/>
      <w:sz w:val="31"/>
      <w:lang w:val="en-US" w:eastAsia="zh-CN"/>
    </w:rPr>
  </w:style>
  <w:style w:type="character" w:customStyle="1" w:styleId="34">
    <w:name w:val="页眉 字符"/>
    <w:link w:val="1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批注框文本 字符"/>
    <w:link w:val="11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纯文本 字符"/>
    <w:link w:val="8"/>
    <w:locked/>
    <w:uiPriority w:val="99"/>
    <w:rPr>
      <w:rFonts w:ascii="宋体" w:hAnsi="Courier New" w:eastAsia="宋体" w:cs="Courier New"/>
      <w:sz w:val="21"/>
      <w:szCs w:val="21"/>
    </w:rPr>
  </w:style>
  <w:style w:type="paragraph" w:styleId="37">
    <w:name w:val="List Paragraph"/>
    <w:basedOn w:val="1"/>
    <w:qFormat/>
    <w:uiPriority w:val="99"/>
    <w:pPr>
      <w:spacing w:line="360" w:lineRule="auto"/>
      <w:ind w:firstLine="420" w:firstLineChars="200"/>
    </w:pPr>
    <w:rPr>
      <w:rFonts w:ascii="Calibri" w:hAnsi="Calibri"/>
      <w:sz w:val="24"/>
      <w:szCs w:val="22"/>
    </w:rPr>
  </w:style>
  <w:style w:type="character" w:customStyle="1" w:styleId="38">
    <w:name w:val="正文文本缩进 2 字符"/>
    <w:link w:val="10"/>
    <w:locked/>
    <w:uiPriority w:val="99"/>
  </w:style>
  <w:style w:type="character" w:customStyle="1" w:styleId="39">
    <w:name w:val="Body Text Indent 2 Char1"/>
    <w:semiHidden/>
    <w:uiPriority w:val="99"/>
    <w:rPr>
      <w:rFonts w:ascii="Times New Roman" w:hAnsi="Times New Roman"/>
      <w:szCs w:val="20"/>
    </w:rPr>
  </w:style>
  <w:style w:type="character" w:customStyle="1" w:styleId="40">
    <w:name w:val="正文文本缩进 2 Char1"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41">
    <w:name w:val="正文文本缩进 3 字符"/>
    <w:link w:val="15"/>
    <w:locked/>
    <w:uiPriority w:val="99"/>
    <w:rPr>
      <w:sz w:val="16"/>
    </w:rPr>
  </w:style>
  <w:style w:type="character" w:customStyle="1" w:styleId="42">
    <w:name w:val="Body Text Indent 3 Char1"/>
    <w:semiHidden/>
    <w:uiPriority w:val="99"/>
    <w:rPr>
      <w:rFonts w:ascii="Times New Roman" w:hAnsi="Times New Roman"/>
      <w:sz w:val="16"/>
      <w:szCs w:val="16"/>
    </w:rPr>
  </w:style>
  <w:style w:type="character" w:customStyle="1" w:styleId="43">
    <w:name w:val="正文文本缩进 3 Char1"/>
    <w:uiPriority w:val="99"/>
    <w:rPr>
      <w:rFonts w:ascii="Times New Roman" w:hAnsi="Times New Roman" w:eastAsia="宋体" w:cs="Times New Roman"/>
      <w:sz w:val="16"/>
      <w:szCs w:val="16"/>
    </w:rPr>
  </w:style>
  <w:style w:type="paragraph" w:customStyle="1" w:styleId="44">
    <w:name w:val="p0"/>
    <w:basedOn w:val="1"/>
    <w:uiPriority w:val="99"/>
    <w:pPr>
      <w:widowControl/>
    </w:pPr>
    <w:rPr>
      <w:kern w:val="0"/>
      <w:szCs w:val="21"/>
    </w:rPr>
  </w:style>
  <w:style w:type="paragraph" w:customStyle="1" w:styleId="45">
    <w:name w:val="TOC Heading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6">
    <w:name w:val="批注文字 字符"/>
    <w:link w:val="6"/>
    <w:locked/>
    <w:uiPriority w:val="99"/>
    <w:rPr>
      <w:rFonts w:ascii="Calibri" w:hAnsi="Calibri" w:eastAsia="宋体" w:cs="Times New Roman"/>
    </w:rPr>
  </w:style>
  <w:style w:type="character" w:customStyle="1" w:styleId="47">
    <w:name w:val="批注主题 字符"/>
    <w:link w:val="17"/>
    <w:locked/>
    <w:uiPriority w:val="99"/>
    <w:rPr>
      <w:rFonts w:ascii="Calibri" w:hAnsi="Calibri" w:eastAsia="宋体" w:cs="Times New Roman"/>
      <w:b/>
      <w:bCs/>
    </w:rPr>
  </w:style>
  <w:style w:type="paragraph" w:customStyle="1" w:styleId="48">
    <w:name w:val="Revision"/>
    <w:hidden/>
    <w:semiHidden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207</Words>
  <Characters>210</Characters>
  <Lines>1</Lines>
  <Paragraphs>1</Paragraphs>
  <TotalTime>25</TotalTime>
  <ScaleCrop>false</ScaleCrop>
  <LinksUpToDate>false</LinksUpToDate>
  <CharactersWithSpaces>238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2021-07-03T09:50:00Z</dcterms:created>
  <dc:creator>lenovo</dc:creator>
  <cp:lastModifiedBy>微风</cp:lastModifiedBy>
  <dcterms:modified xsi:type="dcterms:W3CDTF">2024-01-04T03:58:12Z</dcterms:modified>
  <dc:title>中山大学研究生课程教学大纲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4C34235004E247459CE2FBC0A390F930</vt:lpwstr>
  </property>
</Properties>
</file>