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5E67C7">
      <w:pPr>
        <w:adjustRightInd w:val="0"/>
        <w:snapToGrid w:val="0"/>
        <w:spacing w:line="500" w:lineRule="exact"/>
        <w:jc w:val="center"/>
        <w:rPr>
          <w:rFonts w:eastAsia="方正小标宋简体"/>
          <w:b/>
          <w:color w:val="000000"/>
          <w:sz w:val="36"/>
          <w:szCs w:val="36"/>
        </w:rPr>
      </w:pPr>
      <w:r>
        <w:rPr>
          <w:rFonts w:eastAsia="方正小标宋简体"/>
          <w:b/>
          <w:color w:val="000000"/>
          <w:sz w:val="36"/>
          <w:szCs w:val="36"/>
        </w:rPr>
        <w:t>中山大学</w:t>
      </w:r>
    </w:p>
    <w:p w14:paraId="49C00F44">
      <w:pPr>
        <w:adjustRightInd w:val="0"/>
        <w:snapToGrid w:val="0"/>
        <w:spacing w:line="500" w:lineRule="exact"/>
        <w:jc w:val="center"/>
        <w:rPr>
          <w:rFonts w:eastAsia="方正小标宋简体"/>
          <w:b/>
          <w:color w:val="000000"/>
          <w:sz w:val="32"/>
          <w:szCs w:val="32"/>
        </w:rPr>
      </w:pPr>
      <w:r>
        <w:rPr>
          <w:rFonts w:hint="eastAsia" w:eastAsia="方正小标宋简体"/>
          <w:b/>
          <w:color w:val="000000"/>
          <w:sz w:val="32"/>
          <w:szCs w:val="32"/>
        </w:rPr>
        <w:t>数学（070100）</w:t>
      </w:r>
      <w:r>
        <w:rPr>
          <w:rFonts w:eastAsia="方正小标宋简体"/>
          <w:b/>
          <w:color w:val="000000"/>
          <w:sz w:val="32"/>
          <w:szCs w:val="32"/>
        </w:rPr>
        <w:t>学术学位</w:t>
      </w:r>
      <w:r>
        <w:rPr>
          <w:rFonts w:hint="eastAsia" w:eastAsia="方正小标宋简体"/>
          <w:b/>
          <w:color w:val="000000"/>
          <w:sz w:val="32"/>
          <w:szCs w:val="32"/>
        </w:rPr>
        <w:t>连贯培养</w:t>
      </w:r>
      <w:r>
        <w:rPr>
          <w:rFonts w:eastAsia="方正小标宋简体"/>
          <w:b/>
          <w:color w:val="000000"/>
          <w:sz w:val="32"/>
          <w:szCs w:val="32"/>
        </w:rPr>
        <w:t>研究生培养方案</w:t>
      </w:r>
    </w:p>
    <w:p w14:paraId="6816729A">
      <w:pPr>
        <w:adjustRightInd w:val="0"/>
        <w:snapToGrid w:val="0"/>
        <w:spacing w:line="500" w:lineRule="exact"/>
        <w:jc w:val="center"/>
        <w:rPr>
          <w:rFonts w:eastAsia="方正小标宋简体"/>
          <w:bCs/>
          <w:color w:val="000000"/>
          <w:sz w:val="28"/>
          <w:szCs w:val="28"/>
        </w:rPr>
      </w:pPr>
      <w:r>
        <w:rPr>
          <w:rFonts w:eastAsia="方正小标宋简体"/>
          <w:bCs/>
          <w:color w:val="000000"/>
          <w:sz w:val="28"/>
          <w:szCs w:val="28"/>
        </w:rPr>
        <w:t>（从</w:t>
      </w:r>
      <w:r>
        <w:rPr>
          <w:rFonts w:hint="eastAsia" w:eastAsia="方正小标宋简体"/>
          <w:bCs/>
          <w:color w:val="000000"/>
          <w:sz w:val="28"/>
          <w:szCs w:val="28"/>
        </w:rPr>
        <w:t>2024</w:t>
      </w:r>
      <w:r>
        <w:rPr>
          <w:rFonts w:eastAsia="方正小标宋简体"/>
          <w:bCs/>
          <w:color w:val="000000"/>
          <w:sz w:val="28"/>
          <w:szCs w:val="28"/>
        </w:rPr>
        <w:t>年级开始执行）</w:t>
      </w:r>
    </w:p>
    <w:p w14:paraId="4037620D">
      <w:pPr>
        <w:spacing w:line="500" w:lineRule="exact"/>
        <w:ind w:firstLine="643" w:firstLineChars="200"/>
        <w:rPr>
          <w:rFonts w:eastAsia="仿宋_GB2312"/>
          <w:b/>
          <w:sz w:val="32"/>
          <w:szCs w:val="32"/>
        </w:rPr>
      </w:pPr>
    </w:p>
    <w:p w14:paraId="27B959FA">
      <w:pPr>
        <w:numPr>
          <w:ilvl w:val="0"/>
          <w:numId w:val="1"/>
        </w:numPr>
        <w:spacing w:line="500" w:lineRule="exact"/>
        <w:rPr>
          <w:rFonts w:eastAsia="黑体"/>
          <w:bCs/>
          <w:sz w:val="32"/>
          <w:szCs w:val="32"/>
        </w:rPr>
      </w:pPr>
      <w:r>
        <w:rPr>
          <w:rFonts w:eastAsia="黑体"/>
          <w:bCs/>
          <w:sz w:val="32"/>
          <w:szCs w:val="32"/>
        </w:rPr>
        <w:t>学科介绍</w:t>
      </w:r>
    </w:p>
    <w:p w14:paraId="0CBD89B7">
      <w:pPr>
        <w:spacing w:line="500" w:lineRule="exact"/>
        <w:ind w:firstLine="560" w:firstLineChars="200"/>
        <w:rPr>
          <w:rFonts w:hint="eastAsia" w:eastAsia="仿宋_GB2312"/>
          <w:sz w:val="28"/>
          <w:szCs w:val="28"/>
        </w:rPr>
      </w:pPr>
      <w:r>
        <w:rPr>
          <w:rFonts w:hint="eastAsia" w:eastAsia="仿宋_GB2312"/>
          <w:sz w:val="28"/>
          <w:szCs w:val="28"/>
        </w:rPr>
        <w:t>数学学科历史追溯于数学系始建于1924年创校之初，1998年获得数学一级学科博士学位授予权，是国家“双一流”建设学科，国家理科基础科研和教学人才培养基地。本学科着力培养学生掌握数学的基本理论和方法，进入国际科学研究前沿，做出原创性理论和应用成果，成为具有国际视野的数学领军人才，为提升我国科技实力和促进经济建设做贡献。本着“质量第一”的发展理念，全力完善学科体系，提升学科实力，建成国际领先的学科点。</w:t>
      </w:r>
    </w:p>
    <w:p w14:paraId="1A933335">
      <w:pPr>
        <w:spacing w:line="500" w:lineRule="exact"/>
        <w:ind w:firstLine="560" w:firstLineChars="200"/>
        <w:rPr>
          <w:rFonts w:hint="eastAsia" w:eastAsia="仿宋_GB2312"/>
          <w:sz w:val="28"/>
          <w:szCs w:val="28"/>
        </w:rPr>
      </w:pPr>
    </w:p>
    <w:p w14:paraId="5E58E64E">
      <w:pPr>
        <w:numPr>
          <w:ilvl w:val="0"/>
          <w:numId w:val="1"/>
        </w:numPr>
        <w:spacing w:line="500" w:lineRule="exact"/>
        <w:rPr>
          <w:rFonts w:eastAsia="黑体"/>
          <w:bCs/>
          <w:sz w:val="32"/>
          <w:szCs w:val="32"/>
        </w:rPr>
      </w:pPr>
      <w:r>
        <w:rPr>
          <w:rFonts w:eastAsia="黑体"/>
          <w:bCs/>
          <w:sz w:val="32"/>
          <w:szCs w:val="32"/>
        </w:rPr>
        <w:t>培养目标</w:t>
      </w:r>
    </w:p>
    <w:p w14:paraId="13881A5A">
      <w:pPr>
        <w:adjustRightInd w:val="0"/>
        <w:snapToGrid w:val="0"/>
        <w:spacing w:line="500" w:lineRule="exact"/>
        <w:ind w:firstLine="560" w:firstLineChars="200"/>
        <w:rPr>
          <w:rFonts w:eastAsia="仿宋_GB2312"/>
          <w:sz w:val="28"/>
          <w:szCs w:val="28"/>
        </w:rPr>
      </w:pPr>
      <w:r>
        <w:rPr>
          <w:rFonts w:eastAsia="仿宋_GB2312"/>
          <w:sz w:val="28"/>
          <w:szCs w:val="28"/>
        </w:rPr>
        <w:t>以习近平新时代中国特色社会主义思想为指导，全面贯彻党的教育方针，以立德树人为根本，以理想信念教育为核心，培养德智体美劳全面发展，具有社会责任感和创新精神的高层次人才。</w:t>
      </w:r>
    </w:p>
    <w:p w14:paraId="6767A444">
      <w:pPr>
        <w:adjustRightInd w:val="0"/>
        <w:snapToGrid w:val="0"/>
        <w:spacing w:line="500" w:lineRule="exact"/>
        <w:ind w:firstLine="560" w:firstLineChars="200"/>
        <w:rPr>
          <w:rFonts w:hint="eastAsia" w:eastAsia="仿宋_GB2312"/>
          <w:sz w:val="28"/>
          <w:szCs w:val="28"/>
        </w:rPr>
      </w:pPr>
      <w:r>
        <w:rPr>
          <w:rFonts w:hint="eastAsia" w:eastAsia="仿宋_GB2312"/>
          <w:sz w:val="28"/>
          <w:szCs w:val="28"/>
        </w:rPr>
        <w:t>培养掌握坚实宽广的数学基础和系统深入的数学专门知识、具有独立从事科学研究工作的能力、在理论或实际应用上能做出创造性成果、为社会发展做突出贡献的高级专门人才。</w:t>
      </w:r>
    </w:p>
    <w:p w14:paraId="334543B6">
      <w:pPr>
        <w:adjustRightInd w:val="0"/>
        <w:snapToGrid w:val="0"/>
        <w:spacing w:line="500" w:lineRule="exact"/>
        <w:ind w:firstLine="560" w:firstLineChars="200"/>
        <w:rPr>
          <w:rFonts w:hint="eastAsia" w:eastAsia="仿宋_GB2312"/>
          <w:sz w:val="28"/>
          <w:szCs w:val="28"/>
        </w:rPr>
      </w:pPr>
    </w:p>
    <w:p w14:paraId="0E15C00A">
      <w:pPr>
        <w:numPr>
          <w:ilvl w:val="0"/>
          <w:numId w:val="1"/>
        </w:numPr>
        <w:spacing w:line="500" w:lineRule="exact"/>
        <w:rPr>
          <w:rFonts w:eastAsia="黑体"/>
          <w:bCs/>
          <w:sz w:val="32"/>
          <w:szCs w:val="32"/>
        </w:rPr>
      </w:pPr>
      <w:r>
        <w:rPr>
          <w:rFonts w:eastAsia="黑体"/>
          <w:bCs/>
          <w:sz w:val="32"/>
          <w:szCs w:val="32"/>
        </w:rPr>
        <w:t>学制与学习年限</w:t>
      </w:r>
    </w:p>
    <w:p w14:paraId="7374F25B">
      <w:pPr>
        <w:ind w:firstLine="560" w:firstLineChars="200"/>
        <w:rPr>
          <w:rFonts w:eastAsia="仿宋_GB2312"/>
          <w:sz w:val="28"/>
          <w:szCs w:val="28"/>
        </w:rPr>
      </w:pPr>
      <w:r>
        <w:rPr>
          <w:rFonts w:hint="eastAsia" w:eastAsia="仿宋_GB2312"/>
          <w:sz w:val="28"/>
          <w:szCs w:val="28"/>
        </w:rPr>
        <w:t>全日制五年。</w:t>
      </w:r>
      <w:r>
        <w:rPr>
          <w:rFonts w:eastAsia="仿宋_GB2312"/>
          <w:sz w:val="28"/>
          <w:szCs w:val="28"/>
        </w:rPr>
        <w:t>按照《中山大学研究生学籍管理规定》</w:t>
      </w:r>
      <w:r>
        <w:rPr>
          <w:rFonts w:hint="eastAsia" w:eastAsia="仿宋_GB2312"/>
          <w:sz w:val="28"/>
          <w:szCs w:val="28"/>
        </w:rPr>
        <w:t>中</w:t>
      </w:r>
      <w:r>
        <w:rPr>
          <w:rFonts w:eastAsia="仿宋_GB2312"/>
          <w:sz w:val="28"/>
          <w:szCs w:val="28"/>
        </w:rPr>
        <w:t>规定的学制和学习年限执行。</w:t>
      </w:r>
    </w:p>
    <w:p w14:paraId="3430B375">
      <w:pPr>
        <w:ind w:firstLine="560" w:firstLineChars="200"/>
        <w:rPr>
          <w:rFonts w:eastAsia="仿宋_GB2312"/>
          <w:sz w:val="28"/>
          <w:szCs w:val="28"/>
        </w:rPr>
      </w:pPr>
    </w:p>
    <w:p w14:paraId="68828C23">
      <w:pPr>
        <w:numPr>
          <w:ilvl w:val="0"/>
          <w:numId w:val="1"/>
        </w:numPr>
        <w:spacing w:line="500" w:lineRule="exact"/>
        <w:rPr>
          <w:rFonts w:eastAsia="黑体"/>
          <w:bCs/>
          <w:sz w:val="32"/>
          <w:szCs w:val="32"/>
        </w:rPr>
      </w:pPr>
      <w:r>
        <w:rPr>
          <w:rFonts w:eastAsia="黑体"/>
          <w:bCs/>
          <w:sz w:val="32"/>
          <w:szCs w:val="32"/>
        </w:rPr>
        <w:t>学科特色方向</w:t>
      </w:r>
    </w:p>
    <w:p w14:paraId="7346F6F3">
      <w:pPr>
        <w:adjustRightInd w:val="0"/>
        <w:snapToGrid w:val="0"/>
        <w:spacing w:line="500" w:lineRule="exact"/>
        <w:ind w:firstLine="560" w:firstLineChars="200"/>
        <w:rPr>
          <w:rFonts w:eastAsia="仿宋_GB2312"/>
          <w:sz w:val="28"/>
          <w:szCs w:val="28"/>
        </w:rPr>
      </w:pPr>
      <w:r>
        <w:rPr>
          <w:rFonts w:hint="eastAsia" w:eastAsia="仿宋_GB2312"/>
          <w:sz w:val="28"/>
          <w:szCs w:val="28"/>
        </w:rPr>
        <w:t>基础数学、计算数学、概率论与数理统计、应用数学、运筹学与控制论五个研究方向</w:t>
      </w:r>
      <w:r>
        <w:rPr>
          <w:rFonts w:eastAsia="仿宋_GB2312"/>
          <w:sz w:val="28"/>
          <w:szCs w:val="28"/>
        </w:rPr>
        <w:t>。</w:t>
      </w:r>
    </w:p>
    <w:p w14:paraId="133BBB09">
      <w:pPr>
        <w:adjustRightInd w:val="0"/>
        <w:snapToGrid w:val="0"/>
        <w:spacing w:line="500" w:lineRule="exact"/>
        <w:ind w:firstLine="560" w:firstLineChars="200"/>
        <w:rPr>
          <w:rFonts w:eastAsia="仿宋_GB2312"/>
          <w:sz w:val="28"/>
          <w:szCs w:val="28"/>
        </w:rPr>
      </w:pPr>
    </w:p>
    <w:p w14:paraId="047CB920">
      <w:pPr>
        <w:numPr>
          <w:ilvl w:val="0"/>
          <w:numId w:val="1"/>
        </w:numPr>
        <w:spacing w:line="500" w:lineRule="exact"/>
        <w:rPr>
          <w:rFonts w:eastAsia="黑体"/>
          <w:bCs/>
          <w:sz w:val="32"/>
          <w:szCs w:val="32"/>
        </w:rPr>
      </w:pPr>
      <w:r>
        <w:rPr>
          <w:rFonts w:eastAsia="黑体"/>
          <w:bCs/>
          <w:sz w:val="32"/>
          <w:szCs w:val="32"/>
        </w:rPr>
        <w:t>培养方式</w:t>
      </w:r>
    </w:p>
    <w:p w14:paraId="3FD6A304">
      <w:pPr>
        <w:adjustRightInd w:val="0"/>
        <w:snapToGrid w:val="0"/>
        <w:spacing w:line="500" w:lineRule="exact"/>
        <w:ind w:firstLine="560" w:firstLineChars="200"/>
        <w:rPr>
          <w:rFonts w:hint="eastAsia" w:eastAsia="仿宋_GB2312"/>
          <w:sz w:val="28"/>
          <w:szCs w:val="28"/>
        </w:rPr>
      </w:pPr>
      <w:r>
        <w:rPr>
          <w:rFonts w:hint="eastAsia" w:eastAsia="仿宋_GB2312"/>
          <w:sz w:val="28"/>
          <w:szCs w:val="28"/>
        </w:rPr>
        <w:t>首要培养学生掌握本专业基础理论知识、研究方法及本学科研究前沿进展，并根据以上五个研究方向设置课程安排和采用启发式、研讨式的教学方式，包括安排研究生参加必要的学术讲座、学术报告、讨论班。充分发挥导师指导研究生的主导作用并建立和完善有利于发挥学术群体作用的培养机制，加强研究生的自学能力、动手能力、表达能力和写作能力的训练和培养，强调学生在科研工作中的严谨性和独立性。</w:t>
      </w:r>
    </w:p>
    <w:p w14:paraId="614D2169">
      <w:pPr>
        <w:adjustRightInd w:val="0"/>
        <w:snapToGrid w:val="0"/>
        <w:spacing w:line="500" w:lineRule="exact"/>
        <w:ind w:firstLine="560" w:firstLineChars="200"/>
        <w:rPr>
          <w:rFonts w:hint="eastAsia" w:eastAsia="仿宋_GB2312"/>
          <w:sz w:val="28"/>
          <w:szCs w:val="28"/>
        </w:rPr>
      </w:pPr>
    </w:p>
    <w:p w14:paraId="2838B89B">
      <w:pPr>
        <w:numPr>
          <w:ilvl w:val="0"/>
          <w:numId w:val="1"/>
        </w:numPr>
        <w:spacing w:line="500" w:lineRule="exact"/>
        <w:rPr>
          <w:rFonts w:eastAsia="黑体"/>
          <w:bCs/>
          <w:sz w:val="32"/>
          <w:szCs w:val="32"/>
        </w:rPr>
      </w:pPr>
      <w:r>
        <w:rPr>
          <w:rFonts w:eastAsia="黑体"/>
          <w:bCs/>
          <w:sz w:val="32"/>
          <w:szCs w:val="32"/>
        </w:rPr>
        <w:t>课程设置与学分要求</w:t>
      </w:r>
    </w:p>
    <w:p w14:paraId="230ED838">
      <w:pPr>
        <w:adjustRightInd w:val="0"/>
        <w:snapToGrid w:val="0"/>
        <w:spacing w:line="500" w:lineRule="exact"/>
        <w:ind w:firstLine="560" w:firstLineChars="200"/>
        <w:rPr>
          <w:rFonts w:eastAsia="仿宋_GB2312"/>
          <w:sz w:val="28"/>
          <w:szCs w:val="28"/>
        </w:rPr>
      </w:pPr>
      <w:r>
        <w:rPr>
          <w:rFonts w:eastAsia="仿宋_GB2312"/>
          <w:sz w:val="28"/>
          <w:szCs w:val="28"/>
        </w:rPr>
        <w:t>1.学分要求</w:t>
      </w:r>
    </w:p>
    <w:p w14:paraId="0B89A1E1">
      <w:pPr>
        <w:adjustRightInd w:val="0"/>
        <w:snapToGrid w:val="0"/>
        <w:spacing w:line="500" w:lineRule="exact"/>
        <w:ind w:firstLine="560" w:firstLineChars="200"/>
        <w:rPr>
          <w:rFonts w:eastAsia="仿宋_GB2312"/>
          <w:sz w:val="28"/>
          <w:szCs w:val="28"/>
        </w:rPr>
      </w:pPr>
      <w:r>
        <w:rPr>
          <w:rFonts w:hint="eastAsia" w:eastAsia="仿宋_GB2312"/>
          <w:sz w:val="28"/>
          <w:szCs w:val="28"/>
        </w:rPr>
        <w:t>（1）修读总学分不低于40学分，其中必修学分不低于25学分，学位论文不计学分。</w:t>
      </w:r>
    </w:p>
    <w:p w14:paraId="190D8604">
      <w:pPr>
        <w:adjustRightInd w:val="0"/>
        <w:snapToGrid w:val="0"/>
        <w:spacing w:line="500" w:lineRule="exact"/>
        <w:ind w:firstLine="560" w:firstLineChars="200"/>
        <w:rPr>
          <w:rFonts w:eastAsia="仿宋_GB2312"/>
          <w:sz w:val="28"/>
          <w:szCs w:val="28"/>
        </w:rPr>
      </w:pPr>
      <w:r>
        <w:rPr>
          <w:rFonts w:hint="eastAsia" w:eastAsia="仿宋_GB2312"/>
          <w:sz w:val="28"/>
          <w:szCs w:val="28"/>
        </w:rPr>
        <w:t>（2）硕士阶段必修学分不低于15学分。</w:t>
      </w:r>
    </w:p>
    <w:p w14:paraId="27D7DF73">
      <w:pPr>
        <w:spacing w:line="500" w:lineRule="exact"/>
        <w:ind w:firstLine="560" w:firstLineChars="200"/>
        <w:rPr>
          <w:rFonts w:eastAsia="仿宋_GB2312"/>
          <w:sz w:val="28"/>
          <w:szCs w:val="28"/>
        </w:rPr>
      </w:pPr>
      <w:r>
        <w:rPr>
          <w:rFonts w:eastAsia="仿宋_GB2312"/>
          <w:sz w:val="28"/>
          <w:szCs w:val="28"/>
        </w:rPr>
        <w:t>2.课程设置</w:t>
      </w:r>
    </w:p>
    <w:p w14:paraId="0DF563B0">
      <w:pPr>
        <w:spacing w:line="500" w:lineRule="exact"/>
        <w:rPr>
          <w:rFonts w:hint="eastAsia" w:eastAsia="仿宋_GB2312"/>
          <w:b/>
          <w:bCs/>
          <w:color w:val="000000" w:themeColor="text1"/>
          <w:sz w:val="24"/>
          <w:szCs w:val="24"/>
          <w:highlight w:val="none"/>
          <w:lang w:val="en-US" w:eastAsia="zh-CN"/>
          <w14:textFill>
            <w14:solidFill>
              <w14:schemeClr w14:val="tx1"/>
            </w14:solidFill>
          </w14:textFill>
        </w:rPr>
      </w:pPr>
      <w:r>
        <w:rPr>
          <w:rFonts w:hint="eastAsia" w:eastAsia="仿宋_GB2312"/>
          <w:b/>
          <w:bCs/>
          <w:color w:val="000000" w:themeColor="text1"/>
          <w:sz w:val="24"/>
          <w:szCs w:val="24"/>
          <w:highlight w:val="none"/>
          <w:lang w:val="en-US" w:eastAsia="zh-CN"/>
          <w14:textFill>
            <w14:solidFill>
              <w14:schemeClr w14:val="tx1"/>
            </w14:solidFill>
          </w14:textFill>
        </w:rPr>
        <w:t>（注：数学专业连贯培养方案由数学学院、数学学院（珠海）、计算机学院、理学院及系统科学与工程学院五学院共同制定，课程设置涵盖五个学院的课程体系。此发布版本仅包含面向我院学生的课程。如需了解整个学位点的完整课程设置，可前往我院研究生教务办公室查阅。）</w:t>
      </w:r>
    </w:p>
    <w:tbl>
      <w:tblPr>
        <w:tblStyle w:val="19"/>
        <w:tblW w:w="9041" w:type="dxa"/>
        <w:tblInd w:w="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6"/>
        <w:gridCol w:w="567"/>
        <w:gridCol w:w="1125"/>
        <w:gridCol w:w="3650"/>
        <w:gridCol w:w="540"/>
        <w:gridCol w:w="480"/>
        <w:gridCol w:w="1370"/>
        <w:gridCol w:w="773"/>
      </w:tblGrid>
      <w:tr w14:paraId="03E3B2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6" w:type="dxa"/>
            <w:vAlign w:val="center"/>
          </w:tcPr>
          <w:p w14:paraId="2BFC3268">
            <w:pPr>
              <w:jc w:val="center"/>
              <w:rPr>
                <w:rFonts w:hint="eastAsia" w:ascii="仿宋_GB2312" w:hAnsi="华文仿宋" w:eastAsia="仿宋_GB2312"/>
                <w:kern w:val="0"/>
                <w:sz w:val="18"/>
                <w:szCs w:val="18"/>
              </w:rPr>
            </w:pPr>
            <w:r>
              <w:rPr>
                <w:rFonts w:hint="eastAsia" w:ascii="仿宋_GB2312" w:hAnsi="华文仿宋" w:eastAsia="仿宋_GB2312"/>
                <w:kern w:val="0"/>
                <w:sz w:val="18"/>
                <w:szCs w:val="18"/>
              </w:rPr>
              <w:t>课程类别</w:t>
            </w:r>
          </w:p>
        </w:tc>
        <w:tc>
          <w:tcPr>
            <w:tcW w:w="567" w:type="dxa"/>
          </w:tcPr>
          <w:p w14:paraId="05269B93">
            <w:pPr>
              <w:jc w:val="center"/>
              <w:rPr>
                <w:rFonts w:hint="eastAsia" w:ascii="仿宋_GB2312" w:hAnsi="华文仿宋" w:eastAsia="仿宋_GB2312"/>
                <w:kern w:val="0"/>
                <w:sz w:val="18"/>
                <w:szCs w:val="18"/>
              </w:rPr>
            </w:pPr>
            <w:r>
              <w:rPr>
                <w:rFonts w:hint="eastAsia" w:ascii="仿宋_GB2312" w:hAnsi="华文仿宋" w:eastAsia="仿宋_GB2312"/>
                <w:kern w:val="0"/>
                <w:sz w:val="18"/>
                <w:szCs w:val="18"/>
              </w:rPr>
              <w:t>课程属性</w:t>
            </w:r>
          </w:p>
        </w:tc>
        <w:tc>
          <w:tcPr>
            <w:tcW w:w="1125" w:type="dxa"/>
            <w:vAlign w:val="center"/>
          </w:tcPr>
          <w:p w14:paraId="352AF712">
            <w:pPr>
              <w:jc w:val="center"/>
              <w:rPr>
                <w:rFonts w:hint="eastAsia" w:ascii="仿宋_GB2312" w:hAnsi="华文仿宋" w:eastAsia="仿宋_GB2312"/>
                <w:kern w:val="0"/>
                <w:sz w:val="18"/>
                <w:szCs w:val="18"/>
              </w:rPr>
            </w:pPr>
            <w:r>
              <w:rPr>
                <w:rFonts w:hint="eastAsia" w:ascii="仿宋_GB2312" w:hAnsi="华文仿宋" w:eastAsia="仿宋_GB2312"/>
                <w:kern w:val="0"/>
                <w:sz w:val="18"/>
                <w:szCs w:val="18"/>
              </w:rPr>
              <w:t>课程代码</w:t>
            </w:r>
          </w:p>
        </w:tc>
        <w:tc>
          <w:tcPr>
            <w:tcW w:w="3650" w:type="dxa"/>
            <w:vAlign w:val="center"/>
          </w:tcPr>
          <w:p w14:paraId="4C554EDF">
            <w:pPr>
              <w:jc w:val="center"/>
              <w:rPr>
                <w:rFonts w:hint="eastAsia" w:ascii="仿宋_GB2312" w:hAnsi="华文仿宋" w:eastAsia="仿宋_GB2312"/>
                <w:kern w:val="0"/>
                <w:sz w:val="18"/>
                <w:szCs w:val="18"/>
              </w:rPr>
            </w:pPr>
            <w:r>
              <w:rPr>
                <w:rFonts w:hint="eastAsia" w:ascii="仿宋_GB2312" w:hAnsi="华文仿宋" w:eastAsia="仿宋_GB2312"/>
                <w:kern w:val="0"/>
                <w:sz w:val="18"/>
                <w:szCs w:val="18"/>
              </w:rPr>
              <w:t>课程名称/英文名称</w:t>
            </w:r>
          </w:p>
        </w:tc>
        <w:tc>
          <w:tcPr>
            <w:tcW w:w="540" w:type="dxa"/>
            <w:vAlign w:val="center"/>
          </w:tcPr>
          <w:p w14:paraId="7FBF98F9">
            <w:pPr>
              <w:jc w:val="center"/>
              <w:rPr>
                <w:rFonts w:hint="eastAsia" w:ascii="仿宋_GB2312" w:hAnsi="华文仿宋" w:eastAsia="仿宋_GB2312"/>
                <w:kern w:val="0"/>
                <w:sz w:val="18"/>
                <w:szCs w:val="18"/>
              </w:rPr>
            </w:pPr>
            <w:r>
              <w:rPr>
                <w:rFonts w:hint="eastAsia" w:ascii="仿宋_GB2312" w:hAnsi="华文仿宋" w:eastAsia="仿宋_GB2312"/>
                <w:kern w:val="0"/>
                <w:sz w:val="18"/>
                <w:szCs w:val="18"/>
              </w:rPr>
              <w:t>学时</w:t>
            </w:r>
          </w:p>
        </w:tc>
        <w:tc>
          <w:tcPr>
            <w:tcW w:w="480" w:type="dxa"/>
            <w:vAlign w:val="center"/>
          </w:tcPr>
          <w:p w14:paraId="745C9219">
            <w:pPr>
              <w:jc w:val="center"/>
              <w:rPr>
                <w:rFonts w:hint="eastAsia" w:ascii="仿宋_GB2312" w:hAnsi="华文仿宋" w:eastAsia="仿宋_GB2312"/>
                <w:kern w:val="0"/>
                <w:sz w:val="18"/>
                <w:szCs w:val="18"/>
              </w:rPr>
            </w:pPr>
            <w:r>
              <w:rPr>
                <w:rFonts w:hint="eastAsia" w:ascii="仿宋_GB2312" w:hAnsi="华文仿宋" w:eastAsia="仿宋_GB2312"/>
                <w:kern w:val="0"/>
                <w:sz w:val="18"/>
                <w:szCs w:val="18"/>
              </w:rPr>
              <w:t>学分</w:t>
            </w:r>
          </w:p>
        </w:tc>
        <w:tc>
          <w:tcPr>
            <w:tcW w:w="1370" w:type="dxa"/>
            <w:vAlign w:val="center"/>
          </w:tcPr>
          <w:p w14:paraId="1E5DBCD9">
            <w:pPr>
              <w:jc w:val="center"/>
              <w:rPr>
                <w:rFonts w:hint="eastAsia" w:ascii="仿宋_GB2312" w:hAnsi="华文仿宋" w:eastAsia="仿宋_GB2312"/>
                <w:kern w:val="0"/>
                <w:sz w:val="18"/>
                <w:szCs w:val="18"/>
              </w:rPr>
            </w:pPr>
            <w:r>
              <w:rPr>
                <w:rFonts w:hint="eastAsia" w:ascii="仿宋_GB2312" w:hAnsi="华文仿宋" w:eastAsia="仿宋_GB2312"/>
                <w:kern w:val="0"/>
                <w:sz w:val="18"/>
                <w:szCs w:val="18"/>
              </w:rPr>
              <w:t>课程负责人</w:t>
            </w:r>
          </w:p>
        </w:tc>
        <w:tc>
          <w:tcPr>
            <w:tcW w:w="773" w:type="dxa"/>
            <w:vAlign w:val="center"/>
          </w:tcPr>
          <w:p w14:paraId="0D229CBD">
            <w:pPr>
              <w:jc w:val="center"/>
              <w:rPr>
                <w:rFonts w:hint="eastAsia" w:ascii="仿宋_GB2312" w:hAnsi="华文仿宋" w:eastAsia="仿宋_GB2312"/>
                <w:kern w:val="0"/>
                <w:sz w:val="18"/>
                <w:szCs w:val="18"/>
              </w:rPr>
            </w:pPr>
            <w:r>
              <w:rPr>
                <w:rFonts w:hint="eastAsia" w:ascii="仿宋_GB2312" w:hAnsi="华文仿宋" w:eastAsia="仿宋_GB2312"/>
                <w:kern w:val="0"/>
                <w:sz w:val="18"/>
                <w:szCs w:val="18"/>
              </w:rPr>
              <w:t>备注</w:t>
            </w:r>
          </w:p>
        </w:tc>
      </w:tr>
      <w:tr w14:paraId="533D97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 w:hRule="atLeast"/>
        </w:trPr>
        <w:tc>
          <w:tcPr>
            <w:tcW w:w="536" w:type="dxa"/>
            <w:vMerge w:val="restart"/>
            <w:textDirection w:val="tbRlV"/>
            <w:vAlign w:val="center"/>
          </w:tcPr>
          <w:p w14:paraId="51389A42">
            <w:pPr>
              <w:spacing w:line="500" w:lineRule="exact"/>
              <w:ind w:left="113" w:right="113"/>
              <w:jc w:val="center"/>
              <w:rPr>
                <w:rFonts w:hint="eastAsia" w:ascii="仿宋_GB2312" w:eastAsia="仿宋_GB2312"/>
                <w:color w:val="000000"/>
                <w:kern w:val="0"/>
                <w:sz w:val="18"/>
                <w:szCs w:val="18"/>
                <w:lang w:eastAsia="zh-CN"/>
              </w:rPr>
            </w:pPr>
            <w:r>
              <w:rPr>
                <w:rFonts w:hint="eastAsia" w:ascii="仿宋_GB2312" w:eastAsia="仿宋_GB2312"/>
                <w:color w:val="000000"/>
                <w:kern w:val="0"/>
                <w:sz w:val="18"/>
                <w:szCs w:val="18"/>
              </w:rPr>
              <w:t>必修课</w:t>
            </w:r>
            <w:r>
              <w:rPr>
                <w:rFonts w:hint="eastAsia" w:ascii="仿宋_GB2312" w:eastAsia="仿宋_GB2312"/>
                <w:color w:val="000000"/>
                <w:kern w:val="0"/>
                <w:sz w:val="18"/>
                <w:szCs w:val="18"/>
                <w:lang w:eastAsia="zh-CN"/>
              </w:rPr>
              <w:t>（</w:t>
            </w:r>
            <w:r>
              <w:rPr>
                <w:rFonts w:hint="eastAsia" w:ascii="仿宋_GB2312" w:eastAsia="仿宋_GB2312"/>
                <w:color w:val="000000"/>
                <w:kern w:val="0"/>
                <w:sz w:val="18"/>
                <w:szCs w:val="18"/>
                <w:lang w:val="en-US" w:eastAsia="zh-CN"/>
              </w:rPr>
              <w:t>不低于25学分</w:t>
            </w:r>
            <w:r>
              <w:rPr>
                <w:rFonts w:hint="eastAsia" w:ascii="仿宋_GB2312" w:eastAsia="仿宋_GB2312"/>
                <w:color w:val="000000"/>
                <w:kern w:val="0"/>
                <w:sz w:val="18"/>
                <w:szCs w:val="18"/>
                <w:lang w:eastAsia="zh-CN"/>
              </w:rPr>
              <w:t>）</w:t>
            </w:r>
          </w:p>
        </w:tc>
        <w:tc>
          <w:tcPr>
            <w:tcW w:w="567" w:type="dxa"/>
            <w:vMerge w:val="restart"/>
            <w:textDirection w:val="tbRlV"/>
            <w:vAlign w:val="center"/>
          </w:tcPr>
          <w:p w14:paraId="0382AB40">
            <w:pPr>
              <w:spacing w:line="500" w:lineRule="exact"/>
              <w:ind w:left="113" w:right="113"/>
              <w:jc w:val="center"/>
              <w:rPr>
                <w:rFonts w:hint="eastAsia" w:ascii="仿宋_GB2312" w:hAnsi="华文仿宋" w:eastAsia="仿宋_GB2312"/>
                <w:kern w:val="0"/>
                <w:sz w:val="18"/>
                <w:szCs w:val="18"/>
              </w:rPr>
            </w:pPr>
            <w:r>
              <w:rPr>
                <w:rFonts w:hint="eastAsia" w:ascii="仿宋_GB2312" w:hAnsi="华文仿宋" w:eastAsia="仿宋_GB2312"/>
                <w:kern w:val="0"/>
                <w:sz w:val="18"/>
                <w:szCs w:val="18"/>
              </w:rPr>
              <w:t>公共课</w:t>
            </w:r>
          </w:p>
        </w:tc>
        <w:tc>
          <w:tcPr>
            <w:tcW w:w="1125" w:type="dxa"/>
            <w:vAlign w:val="center"/>
          </w:tcPr>
          <w:p w14:paraId="46F05E7D">
            <w:pPr>
              <w:jc w:val="center"/>
              <w:rPr>
                <w:rFonts w:hint="eastAsia" w:ascii="仿宋_GB2312" w:hAnsi="华文仿宋" w:eastAsia="仿宋_GB2312"/>
                <w:kern w:val="0"/>
                <w:sz w:val="18"/>
                <w:szCs w:val="18"/>
              </w:rPr>
            </w:pPr>
            <w:r>
              <w:rPr>
                <w:rFonts w:eastAsia="仿宋_GB2312"/>
                <w:kern w:val="0"/>
                <w:sz w:val="18"/>
                <w:szCs w:val="18"/>
              </w:rPr>
              <w:t>MAR5001</w:t>
            </w:r>
          </w:p>
        </w:tc>
        <w:tc>
          <w:tcPr>
            <w:tcW w:w="3650" w:type="dxa"/>
            <w:vAlign w:val="center"/>
          </w:tcPr>
          <w:p w14:paraId="0E65A9A5">
            <w:pPr>
              <w:jc w:val="center"/>
              <w:rPr>
                <w:rFonts w:hint="eastAsia" w:ascii="仿宋_GB2312" w:hAnsi="华文仿宋" w:eastAsia="仿宋_GB2312"/>
                <w:kern w:val="0"/>
                <w:sz w:val="18"/>
                <w:szCs w:val="18"/>
              </w:rPr>
            </w:pPr>
            <w:r>
              <w:rPr>
                <w:rFonts w:eastAsia="仿宋_GB2312"/>
                <w:kern w:val="0"/>
                <w:sz w:val="18"/>
                <w:szCs w:val="18"/>
              </w:rPr>
              <w:t>新时代中国特色社会主义理论与实践</w:t>
            </w:r>
            <w:r>
              <w:rPr>
                <w:rFonts w:eastAsia="仿宋_GB2312"/>
                <w:color w:val="000000"/>
                <w:sz w:val="18"/>
                <w:szCs w:val="18"/>
              </w:rPr>
              <w:t>Theory and Practice of Socialism with Chinese Characteristics for a New Era</w:t>
            </w:r>
          </w:p>
        </w:tc>
        <w:tc>
          <w:tcPr>
            <w:tcW w:w="540" w:type="dxa"/>
            <w:vAlign w:val="center"/>
          </w:tcPr>
          <w:p w14:paraId="6D29D650">
            <w:pPr>
              <w:jc w:val="center"/>
              <w:rPr>
                <w:rFonts w:hint="eastAsia" w:ascii="仿宋_GB2312" w:hAnsi="华文仿宋" w:eastAsia="仿宋_GB2312"/>
                <w:kern w:val="0"/>
                <w:sz w:val="18"/>
                <w:szCs w:val="18"/>
              </w:rPr>
            </w:pPr>
            <w:r>
              <w:rPr>
                <w:rFonts w:eastAsia="仿宋_GB2312"/>
                <w:kern w:val="0"/>
                <w:sz w:val="18"/>
                <w:szCs w:val="18"/>
              </w:rPr>
              <w:t>36</w:t>
            </w:r>
          </w:p>
        </w:tc>
        <w:tc>
          <w:tcPr>
            <w:tcW w:w="480" w:type="dxa"/>
            <w:vAlign w:val="center"/>
          </w:tcPr>
          <w:p w14:paraId="790F9DD1">
            <w:pPr>
              <w:jc w:val="center"/>
              <w:rPr>
                <w:rFonts w:hint="eastAsia" w:ascii="仿宋_GB2312" w:hAnsi="华文仿宋" w:eastAsia="仿宋_GB2312"/>
                <w:kern w:val="0"/>
                <w:sz w:val="18"/>
                <w:szCs w:val="18"/>
              </w:rPr>
            </w:pPr>
            <w:r>
              <w:rPr>
                <w:rFonts w:eastAsia="仿宋_GB2312"/>
                <w:kern w:val="0"/>
                <w:sz w:val="18"/>
                <w:szCs w:val="18"/>
              </w:rPr>
              <w:t>2</w:t>
            </w:r>
          </w:p>
        </w:tc>
        <w:tc>
          <w:tcPr>
            <w:tcW w:w="1370" w:type="dxa"/>
            <w:vAlign w:val="center"/>
          </w:tcPr>
          <w:p w14:paraId="67264459">
            <w:pPr>
              <w:jc w:val="center"/>
              <w:rPr>
                <w:rFonts w:hint="eastAsia" w:ascii="仿宋_GB2312" w:hAnsi="华文仿宋" w:eastAsia="仿宋_GB2312"/>
                <w:kern w:val="0"/>
                <w:sz w:val="18"/>
                <w:szCs w:val="18"/>
              </w:rPr>
            </w:pPr>
            <w:r>
              <w:rPr>
                <w:rFonts w:eastAsia="仿宋_GB2312"/>
                <w:kern w:val="0"/>
                <w:sz w:val="18"/>
                <w:szCs w:val="18"/>
              </w:rPr>
              <w:t>马克思主义学院</w:t>
            </w:r>
          </w:p>
        </w:tc>
        <w:tc>
          <w:tcPr>
            <w:tcW w:w="773" w:type="dxa"/>
            <w:vAlign w:val="center"/>
          </w:tcPr>
          <w:p w14:paraId="4218FA0D">
            <w:pPr>
              <w:spacing w:line="500" w:lineRule="exact"/>
              <w:jc w:val="center"/>
              <w:rPr>
                <w:rFonts w:hint="eastAsia" w:ascii="仿宋_GB2312" w:hAnsi="华文仿宋" w:eastAsia="仿宋_GB2312"/>
                <w:kern w:val="0"/>
                <w:sz w:val="18"/>
                <w:szCs w:val="18"/>
              </w:rPr>
            </w:pPr>
            <w:r>
              <w:rPr>
                <w:rFonts w:hint="eastAsia" w:ascii="仿宋_GB2312" w:hAnsi="华文仿宋" w:eastAsia="仿宋_GB2312"/>
                <w:kern w:val="0"/>
                <w:sz w:val="18"/>
                <w:szCs w:val="18"/>
              </w:rPr>
              <w:t>必选</w:t>
            </w:r>
          </w:p>
        </w:tc>
      </w:tr>
      <w:tr w14:paraId="06866D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 w:hRule="atLeast"/>
        </w:trPr>
        <w:tc>
          <w:tcPr>
            <w:tcW w:w="536" w:type="dxa"/>
            <w:vMerge w:val="continue"/>
            <w:vAlign w:val="center"/>
          </w:tcPr>
          <w:p w14:paraId="7CF8F77E">
            <w:pPr>
              <w:spacing w:line="500" w:lineRule="exact"/>
              <w:jc w:val="center"/>
              <w:rPr>
                <w:color w:val="000000"/>
                <w:kern w:val="0"/>
                <w:sz w:val="18"/>
                <w:szCs w:val="18"/>
              </w:rPr>
            </w:pPr>
          </w:p>
        </w:tc>
        <w:tc>
          <w:tcPr>
            <w:tcW w:w="567" w:type="dxa"/>
            <w:vMerge w:val="continue"/>
            <w:vAlign w:val="center"/>
          </w:tcPr>
          <w:p w14:paraId="763B8BAA">
            <w:pPr>
              <w:spacing w:line="500" w:lineRule="exact"/>
              <w:jc w:val="center"/>
              <w:rPr>
                <w:rFonts w:hint="eastAsia" w:ascii="仿宋_GB2312" w:hAnsi="华文仿宋" w:eastAsia="仿宋_GB2312"/>
                <w:kern w:val="0"/>
                <w:sz w:val="18"/>
                <w:szCs w:val="18"/>
              </w:rPr>
            </w:pPr>
          </w:p>
        </w:tc>
        <w:tc>
          <w:tcPr>
            <w:tcW w:w="1125" w:type="dxa"/>
            <w:vAlign w:val="center"/>
          </w:tcPr>
          <w:p w14:paraId="6569F25D">
            <w:pPr>
              <w:jc w:val="center"/>
              <w:rPr>
                <w:rFonts w:hint="eastAsia" w:ascii="仿宋_GB2312" w:hAnsi="华文仿宋" w:eastAsia="仿宋_GB2312"/>
                <w:kern w:val="0"/>
                <w:sz w:val="18"/>
                <w:szCs w:val="18"/>
              </w:rPr>
            </w:pPr>
            <w:r>
              <w:rPr>
                <w:rFonts w:eastAsia="仿宋_GB2312"/>
                <w:kern w:val="0"/>
                <w:sz w:val="18"/>
                <w:szCs w:val="18"/>
              </w:rPr>
              <w:t>MAR5002</w:t>
            </w:r>
          </w:p>
        </w:tc>
        <w:tc>
          <w:tcPr>
            <w:tcW w:w="3650" w:type="dxa"/>
            <w:vAlign w:val="center"/>
          </w:tcPr>
          <w:p w14:paraId="2C83D27F">
            <w:pPr>
              <w:jc w:val="center"/>
              <w:rPr>
                <w:rFonts w:hint="eastAsia" w:ascii="仿宋_GB2312" w:hAnsi="华文仿宋" w:eastAsia="仿宋_GB2312"/>
                <w:kern w:val="0"/>
                <w:sz w:val="18"/>
                <w:szCs w:val="18"/>
              </w:rPr>
            </w:pPr>
            <w:r>
              <w:rPr>
                <w:rFonts w:eastAsia="仿宋_GB2312"/>
                <w:kern w:val="0"/>
                <w:sz w:val="18"/>
                <w:szCs w:val="18"/>
              </w:rPr>
              <w:t>自然辩证法概论Dialectics of Nature</w:t>
            </w:r>
          </w:p>
        </w:tc>
        <w:tc>
          <w:tcPr>
            <w:tcW w:w="540" w:type="dxa"/>
            <w:vAlign w:val="center"/>
          </w:tcPr>
          <w:p w14:paraId="582F1D83">
            <w:pPr>
              <w:jc w:val="center"/>
              <w:rPr>
                <w:rFonts w:hint="eastAsia" w:ascii="仿宋_GB2312" w:hAnsi="华文仿宋" w:eastAsia="仿宋_GB2312"/>
                <w:kern w:val="0"/>
                <w:sz w:val="18"/>
                <w:szCs w:val="18"/>
              </w:rPr>
            </w:pPr>
            <w:r>
              <w:rPr>
                <w:rFonts w:eastAsia="仿宋_GB2312"/>
                <w:kern w:val="0"/>
                <w:sz w:val="18"/>
                <w:szCs w:val="18"/>
              </w:rPr>
              <w:t>18</w:t>
            </w:r>
          </w:p>
        </w:tc>
        <w:tc>
          <w:tcPr>
            <w:tcW w:w="480" w:type="dxa"/>
            <w:vAlign w:val="center"/>
          </w:tcPr>
          <w:p w14:paraId="228C2074">
            <w:pPr>
              <w:jc w:val="center"/>
              <w:rPr>
                <w:rFonts w:hint="eastAsia" w:ascii="仿宋_GB2312" w:hAnsi="华文仿宋" w:eastAsia="仿宋_GB2312"/>
                <w:kern w:val="0"/>
                <w:sz w:val="18"/>
                <w:szCs w:val="18"/>
              </w:rPr>
            </w:pPr>
            <w:r>
              <w:rPr>
                <w:rFonts w:eastAsia="仿宋_GB2312"/>
                <w:kern w:val="0"/>
                <w:sz w:val="18"/>
                <w:szCs w:val="18"/>
              </w:rPr>
              <w:t>1</w:t>
            </w:r>
          </w:p>
        </w:tc>
        <w:tc>
          <w:tcPr>
            <w:tcW w:w="1370" w:type="dxa"/>
            <w:vAlign w:val="center"/>
          </w:tcPr>
          <w:p w14:paraId="74C5D143">
            <w:pPr>
              <w:jc w:val="center"/>
              <w:rPr>
                <w:rFonts w:hint="eastAsia" w:ascii="仿宋_GB2312" w:hAnsi="华文仿宋" w:eastAsia="仿宋_GB2312"/>
                <w:kern w:val="0"/>
                <w:sz w:val="18"/>
                <w:szCs w:val="18"/>
              </w:rPr>
            </w:pPr>
            <w:r>
              <w:rPr>
                <w:rFonts w:eastAsia="仿宋_GB2312"/>
                <w:kern w:val="0"/>
                <w:sz w:val="18"/>
                <w:szCs w:val="18"/>
              </w:rPr>
              <w:t>马克思主义学院</w:t>
            </w:r>
          </w:p>
        </w:tc>
        <w:tc>
          <w:tcPr>
            <w:tcW w:w="773" w:type="dxa"/>
            <w:vMerge w:val="restart"/>
            <w:vAlign w:val="center"/>
          </w:tcPr>
          <w:p w14:paraId="63F9F059">
            <w:pPr>
              <w:spacing w:line="500" w:lineRule="exact"/>
              <w:jc w:val="center"/>
              <w:rPr>
                <w:rFonts w:hint="eastAsia" w:ascii="仿宋_GB2312" w:hAnsi="华文仿宋" w:eastAsia="仿宋_GB2312"/>
                <w:kern w:val="0"/>
                <w:sz w:val="18"/>
                <w:szCs w:val="18"/>
              </w:rPr>
            </w:pPr>
            <w:r>
              <w:rPr>
                <w:rFonts w:eastAsia="仿宋_GB2312"/>
                <w:kern w:val="0"/>
                <w:sz w:val="18"/>
                <w:szCs w:val="18"/>
              </w:rPr>
              <w:t>二选一</w:t>
            </w:r>
          </w:p>
        </w:tc>
      </w:tr>
      <w:tr w14:paraId="43E6C3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 w:hRule="atLeast"/>
        </w:trPr>
        <w:tc>
          <w:tcPr>
            <w:tcW w:w="536" w:type="dxa"/>
            <w:vMerge w:val="continue"/>
            <w:vAlign w:val="center"/>
          </w:tcPr>
          <w:p w14:paraId="6E29B260">
            <w:pPr>
              <w:spacing w:line="500" w:lineRule="exact"/>
              <w:jc w:val="center"/>
              <w:rPr>
                <w:color w:val="000000"/>
                <w:kern w:val="0"/>
                <w:sz w:val="18"/>
                <w:szCs w:val="18"/>
              </w:rPr>
            </w:pPr>
          </w:p>
        </w:tc>
        <w:tc>
          <w:tcPr>
            <w:tcW w:w="567" w:type="dxa"/>
            <w:vMerge w:val="continue"/>
            <w:vAlign w:val="center"/>
          </w:tcPr>
          <w:p w14:paraId="50ACFFBD">
            <w:pPr>
              <w:spacing w:line="500" w:lineRule="exact"/>
              <w:jc w:val="center"/>
              <w:rPr>
                <w:rFonts w:hint="eastAsia" w:ascii="仿宋_GB2312" w:hAnsi="华文仿宋" w:eastAsia="仿宋_GB2312"/>
                <w:kern w:val="0"/>
                <w:sz w:val="18"/>
                <w:szCs w:val="18"/>
              </w:rPr>
            </w:pPr>
          </w:p>
        </w:tc>
        <w:tc>
          <w:tcPr>
            <w:tcW w:w="1125" w:type="dxa"/>
            <w:vAlign w:val="center"/>
          </w:tcPr>
          <w:p w14:paraId="17DBE109">
            <w:pPr>
              <w:jc w:val="center"/>
              <w:rPr>
                <w:rFonts w:eastAsia="仿宋_GB2312"/>
                <w:kern w:val="0"/>
                <w:sz w:val="18"/>
                <w:szCs w:val="18"/>
              </w:rPr>
            </w:pPr>
            <w:r>
              <w:rPr>
                <w:rFonts w:eastAsia="仿宋_GB2312"/>
                <w:kern w:val="0"/>
                <w:sz w:val="18"/>
                <w:szCs w:val="18"/>
              </w:rPr>
              <w:t>MAR5003</w:t>
            </w:r>
          </w:p>
        </w:tc>
        <w:tc>
          <w:tcPr>
            <w:tcW w:w="3650" w:type="dxa"/>
            <w:vAlign w:val="center"/>
          </w:tcPr>
          <w:p w14:paraId="6954D4E8">
            <w:pPr>
              <w:jc w:val="center"/>
              <w:rPr>
                <w:rFonts w:eastAsia="仿宋_GB2312"/>
                <w:kern w:val="0"/>
                <w:sz w:val="18"/>
                <w:szCs w:val="18"/>
              </w:rPr>
            </w:pPr>
            <w:r>
              <w:rPr>
                <w:rFonts w:eastAsia="仿宋_GB2312"/>
                <w:kern w:val="0"/>
                <w:sz w:val="18"/>
                <w:szCs w:val="18"/>
              </w:rPr>
              <w:t>马克思主义与社会科学方法论Marxism and The Methodology of Social Science</w:t>
            </w:r>
          </w:p>
        </w:tc>
        <w:tc>
          <w:tcPr>
            <w:tcW w:w="540" w:type="dxa"/>
            <w:vAlign w:val="center"/>
          </w:tcPr>
          <w:p w14:paraId="7678C2C9">
            <w:pPr>
              <w:jc w:val="center"/>
              <w:rPr>
                <w:rFonts w:eastAsia="仿宋_GB2312"/>
                <w:kern w:val="0"/>
                <w:sz w:val="18"/>
                <w:szCs w:val="18"/>
              </w:rPr>
            </w:pPr>
            <w:r>
              <w:rPr>
                <w:rFonts w:eastAsia="仿宋_GB2312"/>
                <w:kern w:val="0"/>
                <w:sz w:val="18"/>
                <w:szCs w:val="18"/>
              </w:rPr>
              <w:t>18</w:t>
            </w:r>
          </w:p>
        </w:tc>
        <w:tc>
          <w:tcPr>
            <w:tcW w:w="480" w:type="dxa"/>
            <w:vAlign w:val="center"/>
          </w:tcPr>
          <w:p w14:paraId="11D5988D">
            <w:pPr>
              <w:jc w:val="center"/>
              <w:rPr>
                <w:rFonts w:eastAsia="仿宋_GB2312"/>
                <w:kern w:val="0"/>
                <w:sz w:val="18"/>
                <w:szCs w:val="18"/>
              </w:rPr>
            </w:pPr>
            <w:r>
              <w:rPr>
                <w:rFonts w:eastAsia="仿宋_GB2312"/>
                <w:kern w:val="0"/>
                <w:sz w:val="18"/>
                <w:szCs w:val="18"/>
              </w:rPr>
              <w:t>1</w:t>
            </w:r>
          </w:p>
        </w:tc>
        <w:tc>
          <w:tcPr>
            <w:tcW w:w="1370" w:type="dxa"/>
            <w:vAlign w:val="center"/>
          </w:tcPr>
          <w:p w14:paraId="4A4A12B1">
            <w:pPr>
              <w:jc w:val="center"/>
              <w:rPr>
                <w:rFonts w:eastAsia="仿宋_GB2312"/>
                <w:kern w:val="0"/>
                <w:sz w:val="18"/>
                <w:szCs w:val="18"/>
              </w:rPr>
            </w:pPr>
            <w:r>
              <w:rPr>
                <w:rFonts w:eastAsia="仿宋_GB2312"/>
                <w:kern w:val="0"/>
                <w:sz w:val="18"/>
                <w:szCs w:val="18"/>
              </w:rPr>
              <w:t>马克思主义学院</w:t>
            </w:r>
          </w:p>
        </w:tc>
        <w:tc>
          <w:tcPr>
            <w:tcW w:w="773" w:type="dxa"/>
            <w:vMerge w:val="continue"/>
            <w:vAlign w:val="center"/>
          </w:tcPr>
          <w:p w14:paraId="16BBF65B">
            <w:pPr>
              <w:spacing w:line="500" w:lineRule="exact"/>
              <w:jc w:val="center"/>
              <w:rPr>
                <w:rFonts w:hint="eastAsia" w:ascii="仿宋_GB2312" w:hAnsi="华文仿宋" w:eastAsia="仿宋_GB2312"/>
                <w:kern w:val="0"/>
                <w:sz w:val="18"/>
                <w:szCs w:val="18"/>
              </w:rPr>
            </w:pPr>
          </w:p>
        </w:tc>
      </w:tr>
      <w:tr w14:paraId="46082B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 w:hRule="atLeast"/>
        </w:trPr>
        <w:tc>
          <w:tcPr>
            <w:tcW w:w="536" w:type="dxa"/>
            <w:vMerge w:val="continue"/>
            <w:vAlign w:val="center"/>
          </w:tcPr>
          <w:p w14:paraId="06ED6352">
            <w:pPr>
              <w:spacing w:line="500" w:lineRule="exact"/>
              <w:jc w:val="center"/>
              <w:rPr>
                <w:color w:val="000000"/>
                <w:kern w:val="0"/>
                <w:sz w:val="18"/>
                <w:szCs w:val="18"/>
              </w:rPr>
            </w:pPr>
          </w:p>
        </w:tc>
        <w:tc>
          <w:tcPr>
            <w:tcW w:w="567" w:type="dxa"/>
            <w:vMerge w:val="continue"/>
            <w:vAlign w:val="center"/>
          </w:tcPr>
          <w:p w14:paraId="5C07FF5A">
            <w:pPr>
              <w:spacing w:line="500" w:lineRule="exact"/>
              <w:jc w:val="center"/>
              <w:rPr>
                <w:rFonts w:hint="eastAsia" w:ascii="仿宋_GB2312" w:hAnsi="华文仿宋" w:eastAsia="仿宋_GB2312"/>
                <w:kern w:val="0"/>
                <w:sz w:val="18"/>
                <w:szCs w:val="18"/>
              </w:rPr>
            </w:pPr>
          </w:p>
        </w:tc>
        <w:tc>
          <w:tcPr>
            <w:tcW w:w="1125" w:type="dxa"/>
            <w:vAlign w:val="center"/>
          </w:tcPr>
          <w:p w14:paraId="39DC133C">
            <w:pPr>
              <w:jc w:val="center"/>
              <w:rPr>
                <w:rFonts w:hint="eastAsia" w:ascii="仿宋_GB2312" w:hAnsi="华文仿宋" w:eastAsia="仿宋_GB2312"/>
                <w:kern w:val="0"/>
                <w:sz w:val="18"/>
                <w:szCs w:val="18"/>
              </w:rPr>
            </w:pPr>
            <w:r>
              <w:rPr>
                <w:rFonts w:eastAsia="仿宋_GB2312"/>
                <w:kern w:val="0"/>
                <w:sz w:val="18"/>
                <w:szCs w:val="18"/>
              </w:rPr>
              <w:t>FL5015</w:t>
            </w:r>
          </w:p>
        </w:tc>
        <w:tc>
          <w:tcPr>
            <w:tcW w:w="3650" w:type="dxa"/>
            <w:vAlign w:val="center"/>
          </w:tcPr>
          <w:p w14:paraId="4ADAC215">
            <w:pPr>
              <w:jc w:val="center"/>
              <w:rPr>
                <w:rFonts w:hint="eastAsia" w:ascii="仿宋_GB2312" w:hAnsi="华文仿宋" w:eastAsia="仿宋_GB2312"/>
                <w:kern w:val="0"/>
                <w:sz w:val="18"/>
                <w:szCs w:val="18"/>
              </w:rPr>
            </w:pPr>
            <w:r>
              <w:rPr>
                <w:rFonts w:eastAsia="仿宋_GB2312"/>
                <w:kern w:val="0"/>
                <w:sz w:val="18"/>
                <w:szCs w:val="18"/>
              </w:rPr>
              <w:t>第一外国语（英语）First Foreign Language</w:t>
            </w:r>
            <w:r>
              <w:rPr>
                <w:rFonts w:hint="eastAsia" w:eastAsia="仿宋_GB2312"/>
                <w:kern w:val="0"/>
                <w:sz w:val="18"/>
                <w:szCs w:val="18"/>
              </w:rPr>
              <w:t xml:space="preserve"> </w:t>
            </w:r>
            <w:r>
              <w:rPr>
                <w:rFonts w:eastAsia="仿宋_GB2312"/>
                <w:kern w:val="0"/>
                <w:sz w:val="18"/>
                <w:szCs w:val="18"/>
              </w:rPr>
              <w:t>(English)</w:t>
            </w:r>
          </w:p>
        </w:tc>
        <w:tc>
          <w:tcPr>
            <w:tcW w:w="540" w:type="dxa"/>
            <w:vAlign w:val="center"/>
          </w:tcPr>
          <w:p w14:paraId="45547EF0">
            <w:pPr>
              <w:jc w:val="center"/>
              <w:rPr>
                <w:rFonts w:hint="eastAsia" w:ascii="仿宋_GB2312" w:hAnsi="华文仿宋" w:eastAsia="仿宋_GB2312"/>
                <w:kern w:val="0"/>
                <w:sz w:val="18"/>
                <w:szCs w:val="18"/>
              </w:rPr>
            </w:pPr>
            <w:r>
              <w:rPr>
                <w:rFonts w:eastAsia="仿宋_GB2312"/>
                <w:kern w:val="0"/>
                <w:sz w:val="18"/>
                <w:szCs w:val="18"/>
              </w:rPr>
              <w:t>36</w:t>
            </w:r>
          </w:p>
        </w:tc>
        <w:tc>
          <w:tcPr>
            <w:tcW w:w="480" w:type="dxa"/>
            <w:vAlign w:val="center"/>
          </w:tcPr>
          <w:p w14:paraId="559698D3">
            <w:pPr>
              <w:jc w:val="center"/>
              <w:rPr>
                <w:rFonts w:hint="eastAsia" w:ascii="仿宋_GB2312" w:hAnsi="华文仿宋" w:eastAsia="仿宋_GB2312"/>
                <w:kern w:val="0"/>
                <w:sz w:val="18"/>
                <w:szCs w:val="18"/>
              </w:rPr>
            </w:pPr>
            <w:r>
              <w:rPr>
                <w:rFonts w:eastAsia="仿宋_GB2312"/>
                <w:kern w:val="0"/>
                <w:sz w:val="18"/>
                <w:szCs w:val="18"/>
              </w:rPr>
              <w:t>2</w:t>
            </w:r>
          </w:p>
        </w:tc>
        <w:tc>
          <w:tcPr>
            <w:tcW w:w="1370" w:type="dxa"/>
            <w:vAlign w:val="center"/>
          </w:tcPr>
          <w:p w14:paraId="0D71B61D">
            <w:pPr>
              <w:jc w:val="center"/>
              <w:rPr>
                <w:rFonts w:hint="eastAsia" w:ascii="仿宋_GB2312" w:hAnsi="华文仿宋" w:eastAsia="仿宋_GB2312"/>
                <w:kern w:val="0"/>
                <w:sz w:val="18"/>
                <w:szCs w:val="18"/>
              </w:rPr>
            </w:pPr>
            <w:r>
              <w:rPr>
                <w:rFonts w:eastAsia="仿宋_GB2312"/>
                <w:kern w:val="0"/>
                <w:sz w:val="18"/>
                <w:szCs w:val="18"/>
              </w:rPr>
              <w:t>外国语学院</w:t>
            </w:r>
          </w:p>
        </w:tc>
        <w:tc>
          <w:tcPr>
            <w:tcW w:w="773" w:type="dxa"/>
            <w:vAlign w:val="center"/>
          </w:tcPr>
          <w:p w14:paraId="5E6439BF">
            <w:pPr>
              <w:spacing w:line="500" w:lineRule="exact"/>
              <w:jc w:val="center"/>
              <w:rPr>
                <w:rFonts w:hint="eastAsia" w:ascii="仿宋_GB2312" w:hAnsi="华文仿宋" w:eastAsia="仿宋_GB2312"/>
                <w:kern w:val="0"/>
                <w:sz w:val="18"/>
                <w:szCs w:val="18"/>
                <w:lang w:eastAsia="zh-CN"/>
              </w:rPr>
            </w:pPr>
            <w:r>
              <w:rPr>
                <w:rFonts w:hint="eastAsia" w:ascii="仿宋_GB2312" w:hAnsi="华文仿宋" w:eastAsia="仿宋_GB2312"/>
                <w:kern w:val="0"/>
                <w:sz w:val="18"/>
                <w:szCs w:val="18"/>
                <w:lang w:val="en-US" w:eastAsia="zh-CN"/>
              </w:rPr>
              <w:t>秋</w:t>
            </w:r>
          </w:p>
        </w:tc>
      </w:tr>
      <w:tr w14:paraId="6CE2C3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536" w:type="dxa"/>
            <w:vMerge w:val="continue"/>
            <w:vAlign w:val="center"/>
          </w:tcPr>
          <w:p w14:paraId="427D9D45">
            <w:pPr>
              <w:spacing w:line="500" w:lineRule="exact"/>
              <w:jc w:val="center"/>
              <w:rPr>
                <w:color w:val="000000"/>
                <w:kern w:val="0"/>
                <w:sz w:val="18"/>
                <w:szCs w:val="18"/>
              </w:rPr>
            </w:pPr>
          </w:p>
        </w:tc>
        <w:tc>
          <w:tcPr>
            <w:tcW w:w="567" w:type="dxa"/>
            <w:vMerge w:val="restart"/>
            <w:textDirection w:val="tbRlV"/>
            <w:vAlign w:val="center"/>
          </w:tcPr>
          <w:p w14:paraId="6807303D">
            <w:pPr>
              <w:spacing w:line="500" w:lineRule="exact"/>
              <w:ind w:left="113" w:right="113"/>
              <w:jc w:val="center"/>
              <w:rPr>
                <w:rFonts w:hint="eastAsia" w:ascii="仿宋_GB2312" w:hAnsi="华文仿宋" w:eastAsia="仿宋_GB2312"/>
                <w:kern w:val="0"/>
                <w:sz w:val="18"/>
                <w:szCs w:val="18"/>
              </w:rPr>
            </w:pPr>
            <w:r>
              <w:rPr>
                <w:rFonts w:hint="eastAsia" w:ascii="仿宋_GB2312" w:hAnsi="华文仿宋" w:eastAsia="仿宋_GB2312"/>
                <w:kern w:val="0"/>
                <w:sz w:val="18"/>
                <w:szCs w:val="18"/>
              </w:rPr>
              <w:t>专业基础课</w:t>
            </w:r>
          </w:p>
        </w:tc>
        <w:tc>
          <w:tcPr>
            <w:tcW w:w="1125" w:type="dxa"/>
            <w:vAlign w:val="center"/>
          </w:tcPr>
          <w:p w14:paraId="76D27BA2">
            <w:pPr>
              <w:jc w:val="center"/>
              <w:rPr>
                <w:rFonts w:eastAsia="仿宋_GB2312"/>
                <w:kern w:val="0"/>
                <w:sz w:val="18"/>
                <w:szCs w:val="18"/>
              </w:rPr>
            </w:pPr>
            <w:r>
              <w:rPr>
                <w:rFonts w:eastAsia="仿宋_GB2312"/>
                <w:kern w:val="0"/>
                <w:sz w:val="18"/>
                <w:szCs w:val="18"/>
              </w:rPr>
              <w:t>DCS5224</w:t>
            </w:r>
          </w:p>
        </w:tc>
        <w:tc>
          <w:tcPr>
            <w:tcW w:w="3650" w:type="dxa"/>
            <w:vAlign w:val="center"/>
          </w:tcPr>
          <w:p w14:paraId="03DDF023">
            <w:pPr>
              <w:jc w:val="center"/>
              <w:rPr>
                <w:rFonts w:eastAsia="仿宋_GB2312"/>
                <w:kern w:val="0"/>
                <w:sz w:val="18"/>
                <w:szCs w:val="18"/>
              </w:rPr>
            </w:pPr>
            <w:r>
              <w:rPr>
                <w:rFonts w:hint="eastAsia" w:eastAsia="仿宋_GB2312"/>
                <w:kern w:val="0"/>
                <w:sz w:val="18"/>
                <w:szCs w:val="18"/>
              </w:rPr>
              <w:t>学术规范与论文写作</w:t>
            </w:r>
          </w:p>
          <w:p w14:paraId="745232F9">
            <w:pPr>
              <w:jc w:val="center"/>
              <w:rPr>
                <w:rFonts w:eastAsia="仿宋_GB2312"/>
                <w:kern w:val="0"/>
                <w:sz w:val="18"/>
                <w:szCs w:val="18"/>
              </w:rPr>
            </w:pPr>
            <w:r>
              <w:rPr>
                <w:rFonts w:eastAsia="仿宋_GB2312"/>
                <w:kern w:val="0"/>
                <w:sz w:val="18"/>
                <w:szCs w:val="18"/>
              </w:rPr>
              <w:t>Academic norms and paper writing</w:t>
            </w:r>
          </w:p>
        </w:tc>
        <w:tc>
          <w:tcPr>
            <w:tcW w:w="540" w:type="dxa"/>
            <w:vAlign w:val="center"/>
          </w:tcPr>
          <w:p w14:paraId="107A6682">
            <w:pPr>
              <w:jc w:val="center"/>
              <w:rPr>
                <w:rFonts w:eastAsia="仿宋_GB2312"/>
                <w:kern w:val="0"/>
                <w:sz w:val="18"/>
                <w:szCs w:val="18"/>
              </w:rPr>
            </w:pPr>
            <w:r>
              <w:rPr>
                <w:rFonts w:hint="eastAsia" w:eastAsia="仿宋_GB2312"/>
                <w:kern w:val="0"/>
                <w:sz w:val="18"/>
                <w:szCs w:val="18"/>
              </w:rPr>
              <w:t>18</w:t>
            </w:r>
          </w:p>
        </w:tc>
        <w:tc>
          <w:tcPr>
            <w:tcW w:w="480" w:type="dxa"/>
            <w:vAlign w:val="center"/>
          </w:tcPr>
          <w:p w14:paraId="42BB3A01">
            <w:pPr>
              <w:jc w:val="center"/>
              <w:rPr>
                <w:rFonts w:eastAsia="仿宋_GB2312"/>
                <w:kern w:val="0"/>
                <w:sz w:val="18"/>
                <w:szCs w:val="18"/>
              </w:rPr>
            </w:pPr>
            <w:r>
              <w:rPr>
                <w:rFonts w:hint="eastAsia" w:eastAsia="仿宋_GB2312"/>
                <w:kern w:val="0"/>
                <w:sz w:val="18"/>
                <w:szCs w:val="18"/>
              </w:rPr>
              <w:t>1</w:t>
            </w:r>
          </w:p>
        </w:tc>
        <w:tc>
          <w:tcPr>
            <w:tcW w:w="1370" w:type="dxa"/>
            <w:vAlign w:val="center"/>
          </w:tcPr>
          <w:p w14:paraId="23AD1BB8">
            <w:pPr>
              <w:jc w:val="center"/>
              <w:rPr>
                <w:rFonts w:hint="eastAsia" w:eastAsia="仿宋_GB2312"/>
                <w:kern w:val="0"/>
                <w:sz w:val="18"/>
                <w:szCs w:val="18"/>
                <w:lang w:eastAsia="zh-CN"/>
              </w:rPr>
            </w:pPr>
            <w:r>
              <w:rPr>
                <w:rFonts w:hint="eastAsia" w:eastAsia="仿宋_GB2312"/>
                <w:kern w:val="0"/>
                <w:sz w:val="18"/>
                <w:szCs w:val="18"/>
                <w:lang w:val="en-US" w:eastAsia="zh-CN"/>
              </w:rPr>
              <w:t>导师组</w:t>
            </w:r>
          </w:p>
        </w:tc>
        <w:tc>
          <w:tcPr>
            <w:tcW w:w="773" w:type="dxa"/>
            <w:vAlign w:val="center"/>
          </w:tcPr>
          <w:p w14:paraId="294AAF5D">
            <w:pPr>
              <w:spacing w:line="500" w:lineRule="exact"/>
              <w:jc w:val="center"/>
              <w:rPr>
                <w:rFonts w:hint="eastAsia" w:ascii="仿宋_GB2312" w:hAnsi="华文仿宋" w:eastAsia="仿宋_GB2312"/>
                <w:kern w:val="0"/>
                <w:sz w:val="18"/>
                <w:szCs w:val="18"/>
                <w:lang w:val="en-US" w:eastAsia="zh-CN"/>
              </w:rPr>
            </w:pPr>
            <w:r>
              <w:rPr>
                <w:rFonts w:hint="eastAsia" w:ascii="仿宋_GB2312" w:hAnsi="华文仿宋" w:eastAsia="仿宋_GB2312"/>
                <w:kern w:val="0"/>
                <w:sz w:val="18"/>
                <w:szCs w:val="18"/>
                <w:lang w:val="en-US" w:eastAsia="zh-CN"/>
              </w:rPr>
              <w:t>秋</w:t>
            </w:r>
          </w:p>
          <w:p w14:paraId="430D3623">
            <w:pPr>
              <w:spacing w:line="500" w:lineRule="exact"/>
              <w:jc w:val="center"/>
              <w:rPr>
                <w:rFonts w:hint="eastAsia" w:ascii="仿宋_GB2312" w:hAnsi="华文仿宋" w:eastAsia="仿宋_GB2312"/>
                <w:kern w:val="0"/>
                <w:sz w:val="18"/>
                <w:szCs w:val="18"/>
              </w:rPr>
            </w:pPr>
            <w:r>
              <w:rPr>
                <w:rFonts w:hint="eastAsia" w:ascii="仿宋_GB2312" w:hAnsi="华文仿宋" w:eastAsia="仿宋_GB2312"/>
                <w:kern w:val="0"/>
                <w:sz w:val="18"/>
                <w:szCs w:val="18"/>
                <w:lang w:val="en-US" w:eastAsia="zh-CN"/>
              </w:rPr>
              <w:t>（必选）</w:t>
            </w:r>
          </w:p>
        </w:tc>
      </w:tr>
      <w:tr w14:paraId="2CAC15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3" w:hRule="atLeast"/>
        </w:trPr>
        <w:tc>
          <w:tcPr>
            <w:tcW w:w="536" w:type="dxa"/>
            <w:vMerge w:val="continue"/>
            <w:vAlign w:val="center"/>
          </w:tcPr>
          <w:p w14:paraId="54AC8FB6">
            <w:pPr>
              <w:spacing w:line="500" w:lineRule="exact"/>
              <w:jc w:val="center"/>
              <w:rPr>
                <w:color w:val="000000"/>
                <w:kern w:val="0"/>
                <w:sz w:val="18"/>
                <w:szCs w:val="18"/>
              </w:rPr>
            </w:pPr>
          </w:p>
        </w:tc>
        <w:tc>
          <w:tcPr>
            <w:tcW w:w="567" w:type="dxa"/>
            <w:vMerge w:val="continue"/>
            <w:vAlign w:val="center"/>
          </w:tcPr>
          <w:p w14:paraId="7B121B7F">
            <w:pPr>
              <w:spacing w:line="500" w:lineRule="exact"/>
              <w:jc w:val="center"/>
              <w:rPr>
                <w:rFonts w:hint="eastAsia" w:ascii="仿宋_GB2312" w:hAnsi="华文仿宋" w:eastAsia="仿宋_GB2312"/>
                <w:kern w:val="0"/>
                <w:sz w:val="18"/>
                <w:szCs w:val="18"/>
              </w:rPr>
            </w:pPr>
          </w:p>
        </w:tc>
        <w:tc>
          <w:tcPr>
            <w:tcW w:w="1125" w:type="dxa"/>
            <w:vAlign w:val="center"/>
          </w:tcPr>
          <w:p w14:paraId="00B5C3F0">
            <w:pPr>
              <w:jc w:val="center"/>
              <w:rPr>
                <w:rFonts w:eastAsia="仿宋_GB2312"/>
                <w:kern w:val="0"/>
                <w:sz w:val="18"/>
                <w:szCs w:val="18"/>
                <w:highlight w:val="none"/>
              </w:rPr>
            </w:pPr>
            <w:r>
              <w:rPr>
                <w:rFonts w:hint="eastAsia" w:eastAsia="仿宋_GB2312"/>
                <w:kern w:val="0"/>
                <w:sz w:val="18"/>
                <w:szCs w:val="18"/>
                <w:highlight w:val="none"/>
              </w:rPr>
              <w:t>DCS6205</w:t>
            </w:r>
          </w:p>
        </w:tc>
        <w:tc>
          <w:tcPr>
            <w:tcW w:w="3650" w:type="dxa"/>
            <w:vAlign w:val="center"/>
          </w:tcPr>
          <w:p w14:paraId="582A77C6">
            <w:pPr>
              <w:jc w:val="center"/>
              <w:rPr>
                <w:rFonts w:eastAsia="仿宋_GB2312"/>
                <w:kern w:val="0"/>
                <w:sz w:val="18"/>
                <w:szCs w:val="18"/>
                <w:highlight w:val="none"/>
              </w:rPr>
            </w:pPr>
            <w:r>
              <w:rPr>
                <w:rFonts w:hint="eastAsia" w:eastAsia="仿宋_GB2312"/>
                <w:kern w:val="0"/>
                <w:sz w:val="18"/>
                <w:szCs w:val="18"/>
                <w:highlight w:val="none"/>
              </w:rPr>
              <w:t>应用泛函分析</w:t>
            </w:r>
          </w:p>
          <w:p w14:paraId="7041B980">
            <w:pPr>
              <w:jc w:val="center"/>
              <w:rPr>
                <w:rFonts w:eastAsia="仿宋_GB2312"/>
                <w:kern w:val="0"/>
                <w:sz w:val="18"/>
                <w:szCs w:val="18"/>
                <w:highlight w:val="none"/>
              </w:rPr>
            </w:pPr>
            <w:r>
              <w:rPr>
                <w:rFonts w:hint="eastAsia" w:eastAsia="仿宋_GB2312"/>
                <w:kern w:val="0"/>
                <w:sz w:val="18"/>
                <w:szCs w:val="18"/>
                <w:highlight w:val="none"/>
              </w:rPr>
              <w:t xml:space="preserve">Apply </w:t>
            </w:r>
            <w:r>
              <w:rPr>
                <w:rFonts w:eastAsia="仿宋_GB2312"/>
                <w:kern w:val="0"/>
                <w:sz w:val="18"/>
                <w:szCs w:val="18"/>
                <w:highlight w:val="none"/>
              </w:rPr>
              <w:t>Functional Analysis</w:t>
            </w:r>
          </w:p>
        </w:tc>
        <w:tc>
          <w:tcPr>
            <w:tcW w:w="540" w:type="dxa"/>
            <w:vAlign w:val="center"/>
          </w:tcPr>
          <w:p w14:paraId="24764F40">
            <w:pPr>
              <w:jc w:val="center"/>
              <w:rPr>
                <w:rFonts w:eastAsia="仿宋_GB2312"/>
                <w:kern w:val="0"/>
                <w:sz w:val="18"/>
                <w:szCs w:val="18"/>
                <w:highlight w:val="none"/>
              </w:rPr>
            </w:pPr>
            <w:r>
              <w:rPr>
                <w:rFonts w:hint="eastAsia" w:eastAsia="仿宋_GB2312"/>
                <w:kern w:val="0"/>
                <w:sz w:val="18"/>
                <w:szCs w:val="18"/>
                <w:highlight w:val="none"/>
              </w:rPr>
              <w:t>54</w:t>
            </w:r>
          </w:p>
        </w:tc>
        <w:tc>
          <w:tcPr>
            <w:tcW w:w="480" w:type="dxa"/>
            <w:vAlign w:val="center"/>
          </w:tcPr>
          <w:p w14:paraId="69CB0584">
            <w:pPr>
              <w:jc w:val="center"/>
              <w:rPr>
                <w:rFonts w:eastAsia="仿宋_GB2312"/>
                <w:kern w:val="0"/>
                <w:sz w:val="18"/>
                <w:szCs w:val="18"/>
                <w:highlight w:val="none"/>
              </w:rPr>
            </w:pPr>
            <w:r>
              <w:rPr>
                <w:rFonts w:hint="eastAsia" w:eastAsia="仿宋_GB2312"/>
                <w:kern w:val="0"/>
                <w:sz w:val="18"/>
                <w:szCs w:val="18"/>
                <w:highlight w:val="none"/>
              </w:rPr>
              <w:t>3</w:t>
            </w:r>
          </w:p>
        </w:tc>
        <w:tc>
          <w:tcPr>
            <w:tcW w:w="1370" w:type="dxa"/>
            <w:vAlign w:val="center"/>
          </w:tcPr>
          <w:p w14:paraId="2C9F8CCB">
            <w:pPr>
              <w:jc w:val="center"/>
              <w:rPr>
                <w:rFonts w:eastAsia="仿宋_GB2312"/>
                <w:kern w:val="0"/>
                <w:sz w:val="18"/>
                <w:szCs w:val="18"/>
                <w:highlight w:val="none"/>
              </w:rPr>
            </w:pPr>
            <w:r>
              <w:rPr>
                <w:rFonts w:hint="eastAsia" w:eastAsia="仿宋_GB2312"/>
                <w:kern w:val="0"/>
                <w:sz w:val="18"/>
                <w:szCs w:val="18"/>
                <w:highlight w:val="none"/>
              </w:rPr>
              <w:t>杨宏奇、陆遥</w:t>
            </w:r>
          </w:p>
        </w:tc>
        <w:tc>
          <w:tcPr>
            <w:tcW w:w="773" w:type="dxa"/>
            <w:vAlign w:val="center"/>
          </w:tcPr>
          <w:p w14:paraId="7FE91A8A">
            <w:pPr>
              <w:spacing w:line="500" w:lineRule="exact"/>
              <w:jc w:val="center"/>
              <w:rPr>
                <w:rFonts w:hint="eastAsia" w:ascii="仿宋_GB2312" w:hAnsi="华文仿宋" w:eastAsia="仿宋_GB2312"/>
                <w:kern w:val="0"/>
                <w:sz w:val="18"/>
                <w:szCs w:val="18"/>
                <w:highlight w:val="none"/>
                <w:lang w:val="en-US" w:eastAsia="zh-CN"/>
              </w:rPr>
            </w:pPr>
            <w:r>
              <w:rPr>
                <w:rFonts w:hint="eastAsia" w:ascii="仿宋_GB2312" w:hAnsi="华文仿宋" w:eastAsia="仿宋_GB2312"/>
                <w:kern w:val="0"/>
                <w:sz w:val="18"/>
                <w:szCs w:val="18"/>
                <w:highlight w:val="none"/>
                <w:lang w:val="en-US" w:eastAsia="zh-CN"/>
              </w:rPr>
              <w:t>秋</w:t>
            </w:r>
          </w:p>
        </w:tc>
      </w:tr>
      <w:tr w14:paraId="32C51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3" w:hRule="atLeast"/>
        </w:trPr>
        <w:tc>
          <w:tcPr>
            <w:tcW w:w="536" w:type="dxa"/>
            <w:vMerge w:val="continue"/>
            <w:vAlign w:val="center"/>
          </w:tcPr>
          <w:p w14:paraId="78DCBF80">
            <w:pPr>
              <w:spacing w:line="500" w:lineRule="exact"/>
              <w:jc w:val="center"/>
              <w:rPr>
                <w:color w:val="000000"/>
                <w:kern w:val="0"/>
                <w:sz w:val="18"/>
                <w:szCs w:val="18"/>
              </w:rPr>
            </w:pPr>
          </w:p>
        </w:tc>
        <w:tc>
          <w:tcPr>
            <w:tcW w:w="567" w:type="dxa"/>
            <w:vMerge w:val="continue"/>
            <w:vAlign w:val="center"/>
          </w:tcPr>
          <w:p w14:paraId="47AB83FE">
            <w:pPr>
              <w:spacing w:line="500" w:lineRule="exact"/>
              <w:jc w:val="center"/>
              <w:rPr>
                <w:rFonts w:hint="eastAsia" w:ascii="仿宋_GB2312" w:hAnsi="华文仿宋" w:eastAsia="仿宋_GB2312"/>
                <w:kern w:val="0"/>
                <w:sz w:val="18"/>
                <w:szCs w:val="18"/>
              </w:rPr>
            </w:pPr>
          </w:p>
        </w:tc>
        <w:tc>
          <w:tcPr>
            <w:tcW w:w="1125" w:type="dxa"/>
            <w:vAlign w:val="center"/>
          </w:tcPr>
          <w:p w14:paraId="19F36FBB">
            <w:pPr>
              <w:jc w:val="center"/>
              <w:rPr>
                <w:rFonts w:eastAsia="仿宋_GB2312"/>
                <w:kern w:val="0"/>
                <w:sz w:val="18"/>
                <w:szCs w:val="18"/>
              </w:rPr>
            </w:pPr>
            <w:r>
              <w:rPr>
                <w:rFonts w:eastAsia="仿宋_GB2312"/>
                <w:kern w:val="0"/>
                <w:sz w:val="18"/>
                <w:szCs w:val="18"/>
              </w:rPr>
              <w:t>DCS</w:t>
            </w:r>
            <w:r>
              <w:rPr>
                <w:rFonts w:hint="eastAsia" w:eastAsia="仿宋_GB2312"/>
                <w:kern w:val="0"/>
                <w:sz w:val="18"/>
                <w:szCs w:val="18"/>
              </w:rPr>
              <w:t>5703</w:t>
            </w:r>
          </w:p>
        </w:tc>
        <w:tc>
          <w:tcPr>
            <w:tcW w:w="3650" w:type="dxa"/>
            <w:vAlign w:val="center"/>
          </w:tcPr>
          <w:p w14:paraId="0A9311F9">
            <w:pPr>
              <w:jc w:val="center"/>
              <w:rPr>
                <w:rFonts w:eastAsia="仿宋_GB2312"/>
                <w:kern w:val="0"/>
                <w:sz w:val="18"/>
                <w:szCs w:val="18"/>
              </w:rPr>
            </w:pPr>
            <w:r>
              <w:rPr>
                <w:rFonts w:hint="eastAsia" w:eastAsia="仿宋_GB2312"/>
                <w:kern w:val="0"/>
                <w:sz w:val="18"/>
                <w:szCs w:val="18"/>
              </w:rPr>
              <w:t>应用矩阵分析</w:t>
            </w:r>
          </w:p>
          <w:p w14:paraId="2B122536">
            <w:pPr>
              <w:jc w:val="center"/>
              <w:rPr>
                <w:rFonts w:eastAsia="仿宋_GB2312"/>
                <w:kern w:val="0"/>
                <w:sz w:val="18"/>
                <w:szCs w:val="18"/>
              </w:rPr>
            </w:pPr>
            <w:r>
              <w:rPr>
                <w:rFonts w:eastAsia="仿宋_GB2312"/>
                <w:kern w:val="0"/>
                <w:sz w:val="18"/>
                <w:szCs w:val="18"/>
              </w:rPr>
              <w:t>Applied Matrix Analysis</w:t>
            </w:r>
          </w:p>
        </w:tc>
        <w:tc>
          <w:tcPr>
            <w:tcW w:w="540" w:type="dxa"/>
            <w:vAlign w:val="center"/>
          </w:tcPr>
          <w:p w14:paraId="722A5F02">
            <w:pPr>
              <w:jc w:val="center"/>
              <w:rPr>
                <w:rFonts w:eastAsia="仿宋_GB2312"/>
                <w:kern w:val="0"/>
                <w:sz w:val="18"/>
                <w:szCs w:val="18"/>
              </w:rPr>
            </w:pPr>
            <w:r>
              <w:rPr>
                <w:rFonts w:hint="eastAsia" w:eastAsia="仿宋_GB2312"/>
                <w:kern w:val="0"/>
                <w:sz w:val="18"/>
                <w:szCs w:val="18"/>
              </w:rPr>
              <w:t>54</w:t>
            </w:r>
          </w:p>
        </w:tc>
        <w:tc>
          <w:tcPr>
            <w:tcW w:w="480" w:type="dxa"/>
            <w:vAlign w:val="center"/>
          </w:tcPr>
          <w:p w14:paraId="5E8BBA20">
            <w:pPr>
              <w:jc w:val="center"/>
              <w:rPr>
                <w:rFonts w:eastAsia="仿宋_GB2312"/>
                <w:kern w:val="0"/>
                <w:sz w:val="18"/>
                <w:szCs w:val="18"/>
              </w:rPr>
            </w:pPr>
            <w:r>
              <w:rPr>
                <w:rFonts w:hint="eastAsia" w:eastAsia="仿宋_GB2312"/>
                <w:kern w:val="0"/>
                <w:sz w:val="18"/>
                <w:szCs w:val="18"/>
              </w:rPr>
              <w:t>3</w:t>
            </w:r>
          </w:p>
        </w:tc>
        <w:tc>
          <w:tcPr>
            <w:tcW w:w="1370" w:type="dxa"/>
            <w:vAlign w:val="center"/>
          </w:tcPr>
          <w:p w14:paraId="317034C5">
            <w:pPr>
              <w:jc w:val="center"/>
              <w:rPr>
                <w:rFonts w:eastAsia="仿宋_GB2312"/>
                <w:kern w:val="0"/>
                <w:sz w:val="18"/>
                <w:szCs w:val="18"/>
              </w:rPr>
            </w:pPr>
            <w:r>
              <w:rPr>
                <w:rFonts w:hint="eastAsia" w:eastAsia="仿宋_GB2312"/>
                <w:kern w:val="0"/>
                <w:sz w:val="18"/>
                <w:szCs w:val="18"/>
              </w:rPr>
              <w:t>马锦华、陈川、蔡穗华</w:t>
            </w:r>
          </w:p>
        </w:tc>
        <w:tc>
          <w:tcPr>
            <w:tcW w:w="773" w:type="dxa"/>
            <w:vAlign w:val="center"/>
          </w:tcPr>
          <w:p w14:paraId="38A5268F">
            <w:pPr>
              <w:spacing w:line="500" w:lineRule="exact"/>
              <w:jc w:val="center"/>
              <w:rPr>
                <w:rFonts w:hint="eastAsia" w:ascii="仿宋_GB2312" w:hAnsi="华文仿宋" w:eastAsia="仿宋_GB2312"/>
                <w:kern w:val="0"/>
                <w:sz w:val="18"/>
                <w:szCs w:val="18"/>
                <w:lang w:eastAsia="zh-CN"/>
              </w:rPr>
            </w:pPr>
            <w:r>
              <w:rPr>
                <w:rFonts w:hint="eastAsia" w:ascii="仿宋_GB2312" w:hAnsi="华文仿宋" w:eastAsia="仿宋_GB2312"/>
                <w:kern w:val="0"/>
                <w:sz w:val="18"/>
                <w:szCs w:val="18"/>
                <w:lang w:val="en-US" w:eastAsia="zh-CN"/>
              </w:rPr>
              <w:t>春</w:t>
            </w:r>
          </w:p>
        </w:tc>
      </w:tr>
      <w:tr w14:paraId="72F84A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3" w:hRule="atLeast"/>
        </w:trPr>
        <w:tc>
          <w:tcPr>
            <w:tcW w:w="536" w:type="dxa"/>
            <w:vMerge w:val="continue"/>
            <w:vAlign w:val="center"/>
          </w:tcPr>
          <w:p w14:paraId="0DEB39F9">
            <w:pPr>
              <w:spacing w:line="500" w:lineRule="exact"/>
              <w:jc w:val="center"/>
              <w:rPr>
                <w:color w:val="000000"/>
                <w:kern w:val="0"/>
                <w:sz w:val="18"/>
                <w:szCs w:val="18"/>
              </w:rPr>
            </w:pPr>
          </w:p>
        </w:tc>
        <w:tc>
          <w:tcPr>
            <w:tcW w:w="567" w:type="dxa"/>
            <w:vMerge w:val="continue"/>
            <w:vAlign w:val="center"/>
          </w:tcPr>
          <w:p w14:paraId="141BBAE2">
            <w:pPr>
              <w:spacing w:line="500" w:lineRule="exact"/>
              <w:jc w:val="center"/>
              <w:rPr>
                <w:rFonts w:hint="eastAsia" w:ascii="仿宋_GB2312" w:hAnsi="华文仿宋" w:eastAsia="仿宋_GB2312"/>
                <w:kern w:val="0"/>
                <w:sz w:val="18"/>
                <w:szCs w:val="18"/>
              </w:rPr>
            </w:pPr>
          </w:p>
        </w:tc>
        <w:tc>
          <w:tcPr>
            <w:tcW w:w="1125" w:type="dxa"/>
            <w:vAlign w:val="center"/>
          </w:tcPr>
          <w:p w14:paraId="06DD3723">
            <w:pPr>
              <w:jc w:val="center"/>
              <w:rPr>
                <w:rFonts w:hint="eastAsia" w:eastAsia="仿宋_GB2312"/>
                <w:kern w:val="0"/>
                <w:sz w:val="18"/>
                <w:szCs w:val="18"/>
                <w:highlight w:val="none"/>
              </w:rPr>
            </w:pPr>
            <w:r>
              <w:rPr>
                <w:rFonts w:hint="eastAsia" w:eastAsia="仿宋_GB2312"/>
                <w:kern w:val="0"/>
                <w:sz w:val="18"/>
                <w:szCs w:val="18"/>
                <w:highlight w:val="none"/>
              </w:rPr>
              <w:t>DCS7701</w:t>
            </w:r>
          </w:p>
        </w:tc>
        <w:tc>
          <w:tcPr>
            <w:tcW w:w="3650" w:type="dxa"/>
            <w:vAlign w:val="center"/>
          </w:tcPr>
          <w:p w14:paraId="26622A83">
            <w:pPr>
              <w:jc w:val="center"/>
              <w:rPr>
                <w:rFonts w:eastAsia="仿宋_GB2312"/>
                <w:kern w:val="0"/>
                <w:sz w:val="18"/>
                <w:szCs w:val="18"/>
                <w:highlight w:val="none"/>
              </w:rPr>
            </w:pPr>
            <w:r>
              <w:rPr>
                <w:rFonts w:hint="eastAsia" w:eastAsia="仿宋_GB2312"/>
                <w:kern w:val="0"/>
                <w:sz w:val="18"/>
                <w:szCs w:val="18"/>
                <w:highlight w:val="none"/>
              </w:rPr>
              <w:t>学术前沿专题与交流</w:t>
            </w:r>
          </w:p>
          <w:p w14:paraId="6F98F4AE">
            <w:pPr>
              <w:jc w:val="center"/>
              <w:rPr>
                <w:rFonts w:eastAsia="仿宋_GB2312"/>
                <w:kern w:val="0"/>
                <w:sz w:val="18"/>
                <w:szCs w:val="18"/>
                <w:highlight w:val="none"/>
              </w:rPr>
            </w:pPr>
            <w:r>
              <w:rPr>
                <w:rFonts w:eastAsia="仿宋_GB2312"/>
                <w:kern w:val="0"/>
                <w:sz w:val="18"/>
                <w:szCs w:val="18"/>
                <w:highlight w:val="none"/>
              </w:rPr>
              <w:t>Frontiers Lectures</w:t>
            </w:r>
          </w:p>
        </w:tc>
        <w:tc>
          <w:tcPr>
            <w:tcW w:w="540" w:type="dxa"/>
            <w:vAlign w:val="center"/>
          </w:tcPr>
          <w:p w14:paraId="59EFB58A">
            <w:pPr>
              <w:jc w:val="center"/>
              <w:rPr>
                <w:rFonts w:eastAsia="仿宋_GB2312"/>
                <w:kern w:val="0"/>
                <w:sz w:val="18"/>
                <w:szCs w:val="18"/>
                <w:highlight w:val="none"/>
              </w:rPr>
            </w:pPr>
            <w:r>
              <w:rPr>
                <w:rFonts w:hint="eastAsia" w:eastAsia="仿宋_GB2312"/>
                <w:kern w:val="0"/>
                <w:sz w:val="18"/>
                <w:szCs w:val="18"/>
                <w:highlight w:val="none"/>
              </w:rPr>
              <w:t>36</w:t>
            </w:r>
          </w:p>
        </w:tc>
        <w:tc>
          <w:tcPr>
            <w:tcW w:w="480" w:type="dxa"/>
            <w:vAlign w:val="center"/>
          </w:tcPr>
          <w:p w14:paraId="5C145290">
            <w:pPr>
              <w:jc w:val="center"/>
              <w:rPr>
                <w:rFonts w:eastAsia="仿宋_GB2312"/>
                <w:kern w:val="0"/>
                <w:sz w:val="18"/>
                <w:szCs w:val="18"/>
                <w:highlight w:val="none"/>
              </w:rPr>
            </w:pPr>
            <w:r>
              <w:rPr>
                <w:rFonts w:hint="eastAsia" w:eastAsia="仿宋_GB2312"/>
                <w:kern w:val="0"/>
                <w:sz w:val="18"/>
                <w:szCs w:val="18"/>
                <w:highlight w:val="none"/>
              </w:rPr>
              <w:t>2</w:t>
            </w:r>
          </w:p>
        </w:tc>
        <w:tc>
          <w:tcPr>
            <w:tcW w:w="1370" w:type="dxa"/>
            <w:vAlign w:val="center"/>
          </w:tcPr>
          <w:p w14:paraId="12B03994">
            <w:pPr>
              <w:jc w:val="center"/>
              <w:rPr>
                <w:rFonts w:eastAsia="仿宋_GB2312"/>
                <w:kern w:val="0"/>
                <w:sz w:val="18"/>
                <w:szCs w:val="18"/>
                <w:highlight w:val="none"/>
              </w:rPr>
            </w:pPr>
            <w:r>
              <w:rPr>
                <w:rFonts w:hint="eastAsia" w:eastAsia="仿宋_GB2312"/>
                <w:kern w:val="0"/>
                <w:sz w:val="18"/>
                <w:szCs w:val="18"/>
                <w:highlight w:val="none"/>
              </w:rPr>
              <w:t>导师组</w:t>
            </w:r>
          </w:p>
        </w:tc>
        <w:tc>
          <w:tcPr>
            <w:tcW w:w="773" w:type="dxa"/>
            <w:vAlign w:val="center"/>
          </w:tcPr>
          <w:p w14:paraId="0D9D9F63">
            <w:pPr>
              <w:spacing w:line="500" w:lineRule="exact"/>
              <w:jc w:val="center"/>
              <w:rPr>
                <w:rFonts w:hint="default" w:ascii="仿宋_GB2312" w:hAnsi="华文仿宋" w:eastAsia="仿宋_GB2312"/>
                <w:kern w:val="0"/>
                <w:sz w:val="18"/>
                <w:szCs w:val="18"/>
                <w:highlight w:val="none"/>
                <w:lang w:val="en-US" w:eastAsia="zh-CN"/>
              </w:rPr>
            </w:pPr>
            <w:r>
              <w:rPr>
                <w:rFonts w:hint="eastAsia" w:ascii="仿宋_GB2312" w:hAnsi="华文仿宋" w:eastAsia="仿宋_GB2312"/>
                <w:kern w:val="0"/>
                <w:sz w:val="18"/>
                <w:szCs w:val="18"/>
                <w:highlight w:val="none"/>
                <w:lang w:val="en-US" w:eastAsia="zh-CN"/>
              </w:rPr>
              <w:t>秋、春（必选）</w:t>
            </w:r>
          </w:p>
        </w:tc>
      </w:tr>
      <w:tr w14:paraId="4ABAB1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3" w:hRule="atLeast"/>
        </w:trPr>
        <w:tc>
          <w:tcPr>
            <w:tcW w:w="536" w:type="dxa"/>
            <w:vMerge w:val="continue"/>
            <w:vAlign w:val="center"/>
          </w:tcPr>
          <w:p w14:paraId="04223581">
            <w:pPr>
              <w:spacing w:line="500" w:lineRule="exact"/>
              <w:jc w:val="center"/>
              <w:rPr>
                <w:color w:val="000000"/>
                <w:kern w:val="0"/>
                <w:sz w:val="18"/>
                <w:szCs w:val="18"/>
              </w:rPr>
            </w:pPr>
          </w:p>
        </w:tc>
        <w:tc>
          <w:tcPr>
            <w:tcW w:w="567" w:type="dxa"/>
            <w:vMerge w:val="continue"/>
            <w:vAlign w:val="center"/>
          </w:tcPr>
          <w:p w14:paraId="2F6B51BB">
            <w:pPr>
              <w:spacing w:line="500" w:lineRule="exact"/>
              <w:jc w:val="center"/>
              <w:rPr>
                <w:rFonts w:hint="eastAsia" w:ascii="仿宋_GB2312" w:hAnsi="华文仿宋" w:eastAsia="仿宋_GB2312"/>
                <w:kern w:val="0"/>
                <w:sz w:val="18"/>
                <w:szCs w:val="18"/>
              </w:rPr>
            </w:pPr>
          </w:p>
        </w:tc>
        <w:tc>
          <w:tcPr>
            <w:tcW w:w="1125" w:type="dxa"/>
            <w:vAlign w:val="center"/>
          </w:tcPr>
          <w:p w14:paraId="432B51CB">
            <w:pPr>
              <w:jc w:val="center"/>
              <w:rPr>
                <w:rFonts w:eastAsia="仿宋_GB2312"/>
                <w:kern w:val="0"/>
                <w:sz w:val="18"/>
                <w:szCs w:val="18"/>
              </w:rPr>
            </w:pPr>
            <w:r>
              <w:rPr>
                <w:rFonts w:hint="eastAsia" w:eastAsia="仿宋_GB2312"/>
                <w:kern w:val="0"/>
                <w:sz w:val="18"/>
                <w:szCs w:val="18"/>
              </w:rPr>
              <w:t>DCS7201</w:t>
            </w:r>
          </w:p>
        </w:tc>
        <w:tc>
          <w:tcPr>
            <w:tcW w:w="3650" w:type="dxa"/>
            <w:vAlign w:val="center"/>
          </w:tcPr>
          <w:p w14:paraId="45E25212">
            <w:pPr>
              <w:jc w:val="center"/>
              <w:rPr>
                <w:rFonts w:eastAsia="仿宋_GB2312"/>
                <w:kern w:val="0"/>
                <w:sz w:val="18"/>
                <w:szCs w:val="18"/>
              </w:rPr>
            </w:pPr>
            <w:r>
              <w:rPr>
                <w:rFonts w:hint="eastAsia" w:eastAsia="仿宋_GB2312"/>
                <w:kern w:val="0"/>
                <w:sz w:val="18"/>
                <w:szCs w:val="18"/>
              </w:rPr>
              <w:t>计算复杂性理论</w:t>
            </w:r>
          </w:p>
          <w:p w14:paraId="6FEDB0EF">
            <w:pPr>
              <w:jc w:val="center"/>
              <w:rPr>
                <w:rFonts w:eastAsia="仿宋_GB2312"/>
                <w:kern w:val="0"/>
                <w:sz w:val="18"/>
                <w:szCs w:val="18"/>
              </w:rPr>
            </w:pPr>
            <w:r>
              <w:rPr>
                <w:rFonts w:eastAsia="仿宋_GB2312"/>
                <w:kern w:val="0"/>
                <w:sz w:val="18"/>
                <w:szCs w:val="18"/>
              </w:rPr>
              <w:t>Theory of Computational Complexity</w:t>
            </w:r>
          </w:p>
        </w:tc>
        <w:tc>
          <w:tcPr>
            <w:tcW w:w="540" w:type="dxa"/>
            <w:vAlign w:val="center"/>
          </w:tcPr>
          <w:p w14:paraId="0CA9B903">
            <w:pPr>
              <w:jc w:val="center"/>
              <w:rPr>
                <w:rFonts w:eastAsia="仿宋_GB2312"/>
                <w:kern w:val="0"/>
                <w:sz w:val="18"/>
                <w:szCs w:val="18"/>
              </w:rPr>
            </w:pPr>
            <w:r>
              <w:rPr>
                <w:rFonts w:hint="eastAsia" w:eastAsia="仿宋_GB2312"/>
                <w:kern w:val="0"/>
                <w:sz w:val="18"/>
                <w:szCs w:val="18"/>
              </w:rPr>
              <w:t>54</w:t>
            </w:r>
          </w:p>
        </w:tc>
        <w:tc>
          <w:tcPr>
            <w:tcW w:w="480" w:type="dxa"/>
            <w:vAlign w:val="center"/>
          </w:tcPr>
          <w:p w14:paraId="662B690D">
            <w:pPr>
              <w:jc w:val="center"/>
              <w:rPr>
                <w:rFonts w:eastAsia="仿宋_GB2312"/>
                <w:kern w:val="0"/>
                <w:sz w:val="18"/>
                <w:szCs w:val="18"/>
              </w:rPr>
            </w:pPr>
            <w:r>
              <w:rPr>
                <w:rFonts w:hint="eastAsia" w:eastAsia="仿宋_GB2312"/>
                <w:kern w:val="0"/>
                <w:sz w:val="18"/>
                <w:szCs w:val="18"/>
              </w:rPr>
              <w:t>3</w:t>
            </w:r>
          </w:p>
        </w:tc>
        <w:tc>
          <w:tcPr>
            <w:tcW w:w="1370" w:type="dxa"/>
            <w:vAlign w:val="center"/>
          </w:tcPr>
          <w:p w14:paraId="2A6A0412">
            <w:pPr>
              <w:jc w:val="center"/>
              <w:rPr>
                <w:rFonts w:eastAsia="仿宋_GB2312"/>
                <w:kern w:val="0"/>
                <w:sz w:val="18"/>
                <w:szCs w:val="18"/>
              </w:rPr>
            </w:pPr>
            <w:r>
              <w:rPr>
                <w:rFonts w:hint="eastAsia" w:eastAsia="仿宋_GB2312"/>
                <w:kern w:val="0"/>
                <w:sz w:val="18"/>
                <w:szCs w:val="18"/>
              </w:rPr>
              <w:t>张方国</w:t>
            </w:r>
          </w:p>
        </w:tc>
        <w:tc>
          <w:tcPr>
            <w:tcW w:w="773" w:type="dxa"/>
            <w:vAlign w:val="center"/>
          </w:tcPr>
          <w:p w14:paraId="402AF30B">
            <w:pPr>
              <w:spacing w:line="500" w:lineRule="exact"/>
              <w:jc w:val="center"/>
              <w:rPr>
                <w:rFonts w:hint="eastAsia" w:ascii="仿宋_GB2312" w:hAnsi="华文仿宋" w:eastAsia="仿宋_GB2312"/>
                <w:kern w:val="0"/>
                <w:sz w:val="18"/>
                <w:szCs w:val="18"/>
                <w:lang w:val="en-US" w:eastAsia="zh-CN"/>
              </w:rPr>
            </w:pPr>
            <w:r>
              <w:rPr>
                <w:rFonts w:hint="eastAsia" w:ascii="仿宋_GB2312" w:hAnsi="华文仿宋" w:eastAsia="仿宋_GB2312"/>
                <w:kern w:val="0"/>
                <w:sz w:val="18"/>
                <w:szCs w:val="18"/>
                <w:lang w:val="en-US" w:eastAsia="zh-CN"/>
              </w:rPr>
              <w:t>秋</w:t>
            </w:r>
          </w:p>
        </w:tc>
      </w:tr>
      <w:tr w14:paraId="1B9BFD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9" w:hRule="atLeast"/>
        </w:trPr>
        <w:tc>
          <w:tcPr>
            <w:tcW w:w="536" w:type="dxa"/>
            <w:vMerge w:val="continue"/>
            <w:vAlign w:val="center"/>
          </w:tcPr>
          <w:p w14:paraId="2D6CE188">
            <w:pPr>
              <w:spacing w:line="500" w:lineRule="exact"/>
              <w:jc w:val="center"/>
              <w:rPr>
                <w:rFonts w:hint="eastAsia" w:ascii="仿宋_GB2312" w:hAnsi="华文仿宋" w:eastAsia="仿宋_GB2312"/>
                <w:kern w:val="0"/>
                <w:sz w:val="18"/>
                <w:szCs w:val="18"/>
              </w:rPr>
            </w:pPr>
          </w:p>
        </w:tc>
        <w:tc>
          <w:tcPr>
            <w:tcW w:w="567" w:type="dxa"/>
            <w:vMerge w:val="restart"/>
            <w:textDirection w:val="tbRlV"/>
            <w:vAlign w:val="center"/>
          </w:tcPr>
          <w:p w14:paraId="4514ED4E">
            <w:pPr>
              <w:spacing w:line="500" w:lineRule="exact"/>
              <w:ind w:left="113" w:right="113"/>
              <w:jc w:val="center"/>
              <w:rPr>
                <w:rFonts w:hint="default" w:ascii="仿宋_GB2312" w:hAnsi="华文仿宋" w:eastAsia="仿宋_GB2312"/>
                <w:kern w:val="0"/>
                <w:sz w:val="18"/>
                <w:szCs w:val="18"/>
                <w:lang w:val="en-US" w:eastAsia="zh-CN"/>
              </w:rPr>
            </w:pPr>
            <w:r>
              <w:rPr>
                <w:rFonts w:hint="eastAsia" w:ascii="仿宋_GB2312" w:hAnsi="华文仿宋" w:eastAsia="仿宋_GB2312"/>
                <w:kern w:val="0"/>
                <w:sz w:val="18"/>
                <w:szCs w:val="18"/>
                <w:lang w:val="en-US" w:eastAsia="zh-CN"/>
              </w:rPr>
              <w:t>专业方向</w:t>
            </w:r>
          </w:p>
        </w:tc>
        <w:tc>
          <w:tcPr>
            <w:tcW w:w="1125" w:type="dxa"/>
            <w:vAlign w:val="center"/>
          </w:tcPr>
          <w:p w14:paraId="4EE0AD71">
            <w:pPr>
              <w:jc w:val="center"/>
              <w:rPr>
                <w:rFonts w:eastAsia="仿宋_GB2312"/>
                <w:kern w:val="0"/>
                <w:sz w:val="18"/>
                <w:szCs w:val="18"/>
              </w:rPr>
            </w:pPr>
            <w:r>
              <w:rPr>
                <w:rFonts w:eastAsia="仿宋_GB2312"/>
                <w:kern w:val="0"/>
                <w:sz w:val="18"/>
                <w:szCs w:val="18"/>
              </w:rPr>
              <w:t>DCS5209</w:t>
            </w:r>
          </w:p>
        </w:tc>
        <w:tc>
          <w:tcPr>
            <w:tcW w:w="3650" w:type="dxa"/>
            <w:vAlign w:val="center"/>
          </w:tcPr>
          <w:p w14:paraId="38B948FF">
            <w:pPr>
              <w:jc w:val="center"/>
              <w:rPr>
                <w:rFonts w:eastAsia="仿宋_GB2312"/>
                <w:kern w:val="0"/>
                <w:sz w:val="18"/>
                <w:szCs w:val="18"/>
              </w:rPr>
            </w:pPr>
            <w:r>
              <w:rPr>
                <w:rFonts w:hint="eastAsia" w:eastAsia="仿宋_GB2312"/>
                <w:kern w:val="0"/>
                <w:sz w:val="18"/>
                <w:szCs w:val="18"/>
              </w:rPr>
              <w:t>高等数值计算方法</w:t>
            </w:r>
          </w:p>
          <w:p w14:paraId="58E99E3B">
            <w:pPr>
              <w:jc w:val="center"/>
              <w:rPr>
                <w:rFonts w:eastAsia="仿宋_GB2312"/>
                <w:kern w:val="0"/>
                <w:sz w:val="18"/>
                <w:szCs w:val="18"/>
              </w:rPr>
            </w:pPr>
            <w:r>
              <w:rPr>
                <w:rFonts w:eastAsia="仿宋_GB2312"/>
                <w:kern w:val="0"/>
                <w:sz w:val="18"/>
                <w:szCs w:val="18"/>
              </w:rPr>
              <w:t>Higher Numerical Calculation Methods</w:t>
            </w:r>
          </w:p>
        </w:tc>
        <w:tc>
          <w:tcPr>
            <w:tcW w:w="540" w:type="dxa"/>
            <w:vAlign w:val="center"/>
          </w:tcPr>
          <w:p w14:paraId="3DF97F42">
            <w:pPr>
              <w:jc w:val="center"/>
              <w:rPr>
                <w:rFonts w:hint="eastAsia" w:eastAsia="仿宋_GB2312"/>
                <w:kern w:val="0"/>
                <w:sz w:val="18"/>
                <w:szCs w:val="18"/>
              </w:rPr>
            </w:pPr>
            <w:r>
              <w:rPr>
                <w:rFonts w:eastAsia="仿宋_GB2312"/>
                <w:kern w:val="0"/>
                <w:sz w:val="18"/>
                <w:szCs w:val="18"/>
              </w:rPr>
              <w:t>54</w:t>
            </w:r>
          </w:p>
        </w:tc>
        <w:tc>
          <w:tcPr>
            <w:tcW w:w="480" w:type="dxa"/>
            <w:vAlign w:val="center"/>
          </w:tcPr>
          <w:p w14:paraId="2793E2FE">
            <w:pPr>
              <w:jc w:val="center"/>
              <w:rPr>
                <w:rFonts w:eastAsia="仿宋_GB2312"/>
                <w:kern w:val="0"/>
                <w:sz w:val="18"/>
                <w:szCs w:val="18"/>
              </w:rPr>
            </w:pPr>
            <w:r>
              <w:rPr>
                <w:rFonts w:eastAsia="仿宋_GB2312"/>
                <w:kern w:val="0"/>
                <w:sz w:val="18"/>
                <w:szCs w:val="18"/>
              </w:rPr>
              <w:t>3</w:t>
            </w:r>
          </w:p>
        </w:tc>
        <w:tc>
          <w:tcPr>
            <w:tcW w:w="1370" w:type="dxa"/>
            <w:vAlign w:val="center"/>
          </w:tcPr>
          <w:p w14:paraId="6F77DFD8">
            <w:pPr>
              <w:jc w:val="center"/>
              <w:rPr>
                <w:rFonts w:eastAsia="仿宋_GB2312"/>
                <w:kern w:val="0"/>
                <w:sz w:val="18"/>
                <w:szCs w:val="18"/>
              </w:rPr>
            </w:pPr>
            <w:r>
              <w:rPr>
                <w:rFonts w:hint="eastAsia" w:eastAsia="仿宋_GB2312"/>
                <w:kern w:val="0"/>
                <w:sz w:val="18"/>
                <w:szCs w:val="18"/>
              </w:rPr>
              <w:t>邹青松、谭志军、汪涛、黎卫兵</w:t>
            </w:r>
          </w:p>
        </w:tc>
        <w:tc>
          <w:tcPr>
            <w:tcW w:w="773" w:type="dxa"/>
            <w:vAlign w:val="center"/>
          </w:tcPr>
          <w:p w14:paraId="64D35CCC">
            <w:pPr>
              <w:spacing w:line="500" w:lineRule="exact"/>
              <w:jc w:val="center"/>
              <w:rPr>
                <w:rFonts w:hint="eastAsia" w:ascii="仿宋_GB2312" w:hAnsi="华文仿宋" w:eastAsia="仿宋_GB2312"/>
                <w:kern w:val="0"/>
                <w:sz w:val="18"/>
                <w:szCs w:val="18"/>
                <w:lang w:eastAsia="zh-CN"/>
              </w:rPr>
            </w:pPr>
            <w:r>
              <w:rPr>
                <w:rFonts w:hint="eastAsia" w:ascii="仿宋_GB2312" w:hAnsi="华文仿宋" w:eastAsia="仿宋_GB2312"/>
                <w:kern w:val="0"/>
                <w:sz w:val="18"/>
                <w:szCs w:val="18"/>
                <w:lang w:val="en-US" w:eastAsia="zh-CN"/>
              </w:rPr>
              <w:t>春</w:t>
            </w:r>
          </w:p>
        </w:tc>
      </w:tr>
      <w:tr w14:paraId="701E5E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1" w:hRule="atLeast"/>
        </w:trPr>
        <w:tc>
          <w:tcPr>
            <w:tcW w:w="536" w:type="dxa"/>
            <w:vMerge w:val="continue"/>
            <w:vAlign w:val="center"/>
          </w:tcPr>
          <w:p w14:paraId="72A66E84">
            <w:pPr>
              <w:spacing w:line="500" w:lineRule="exact"/>
              <w:jc w:val="center"/>
              <w:rPr>
                <w:rFonts w:hint="eastAsia" w:ascii="仿宋_GB2312" w:hAnsi="华文仿宋" w:eastAsia="仿宋_GB2312"/>
                <w:kern w:val="0"/>
                <w:sz w:val="18"/>
                <w:szCs w:val="18"/>
              </w:rPr>
            </w:pPr>
          </w:p>
        </w:tc>
        <w:tc>
          <w:tcPr>
            <w:tcW w:w="567" w:type="dxa"/>
            <w:vMerge w:val="continue"/>
            <w:textDirection w:val="tbRlV"/>
            <w:vAlign w:val="center"/>
          </w:tcPr>
          <w:p w14:paraId="75EAAABF">
            <w:pPr>
              <w:spacing w:line="500" w:lineRule="exact"/>
              <w:ind w:left="113" w:right="113"/>
              <w:jc w:val="center"/>
              <w:rPr>
                <w:rFonts w:hint="eastAsia" w:ascii="仿宋_GB2312" w:hAnsi="华文仿宋" w:eastAsia="仿宋_GB2312"/>
                <w:kern w:val="0"/>
                <w:sz w:val="18"/>
                <w:szCs w:val="18"/>
              </w:rPr>
            </w:pPr>
          </w:p>
        </w:tc>
        <w:tc>
          <w:tcPr>
            <w:tcW w:w="1125" w:type="dxa"/>
            <w:vAlign w:val="center"/>
          </w:tcPr>
          <w:p w14:paraId="46A557B3">
            <w:pPr>
              <w:jc w:val="center"/>
              <w:rPr>
                <w:rFonts w:eastAsia="仿宋_GB2312"/>
                <w:kern w:val="0"/>
                <w:sz w:val="18"/>
                <w:szCs w:val="18"/>
              </w:rPr>
            </w:pPr>
            <w:r>
              <w:rPr>
                <w:rFonts w:eastAsia="仿宋_GB2312"/>
                <w:kern w:val="0"/>
                <w:sz w:val="18"/>
                <w:szCs w:val="18"/>
              </w:rPr>
              <w:t>DCS5203</w:t>
            </w:r>
          </w:p>
        </w:tc>
        <w:tc>
          <w:tcPr>
            <w:tcW w:w="3650" w:type="dxa"/>
            <w:vAlign w:val="center"/>
          </w:tcPr>
          <w:p w14:paraId="502240AC">
            <w:pPr>
              <w:jc w:val="center"/>
              <w:rPr>
                <w:rFonts w:eastAsia="仿宋_GB2312"/>
                <w:kern w:val="0"/>
                <w:sz w:val="18"/>
                <w:szCs w:val="18"/>
              </w:rPr>
            </w:pPr>
            <w:r>
              <w:rPr>
                <w:rFonts w:hint="eastAsia" w:eastAsia="仿宋_GB2312"/>
                <w:kern w:val="0"/>
                <w:sz w:val="18"/>
                <w:szCs w:val="18"/>
              </w:rPr>
              <w:t>最优化理论与方法</w:t>
            </w:r>
          </w:p>
          <w:p w14:paraId="4D17EDBC">
            <w:pPr>
              <w:jc w:val="center"/>
              <w:rPr>
                <w:rFonts w:eastAsia="仿宋_GB2312"/>
                <w:kern w:val="0"/>
                <w:sz w:val="18"/>
                <w:szCs w:val="18"/>
              </w:rPr>
            </w:pPr>
            <w:r>
              <w:rPr>
                <w:rFonts w:eastAsia="仿宋_GB2312"/>
                <w:kern w:val="0"/>
                <w:sz w:val="18"/>
                <w:szCs w:val="18"/>
              </w:rPr>
              <w:t>Theory and Algorithms for Optimization</w:t>
            </w:r>
          </w:p>
        </w:tc>
        <w:tc>
          <w:tcPr>
            <w:tcW w:w="540" w:type="dxa"/>
            <w:vAlign w:val="center"/>
          </w:tcPr>
          <w:p w14:paraId="2A082AAD">
            <w:pPr>
              <w:jc w:val="center"/>
              <w:rPr>
                <w:rFonts w:eastAsia="仿宋_GB2312"/>
                <w:kern w:val="0"/>
                <w:sz w:val="18"/>
                <w:szCs w:val="18"/>
              </w:rPr>
            </w:pPr>
            <w:r>
              <w:rPr>
                <w:rFonts w:eastAsia="仿宋_GB2312"/>
                <w:kern w:val="0"/>
                <w:sz w:val="18"/>
                <w:szCs w:val="18"/>
              </w:rPr>
              <w:t>54</w:t>
            </w:r>
          </w:p>
        </w:tc>
        <w:tc>
          <w:tcPr>
            <w:tcW w:w="480" w:type="dxa"/>
            <w:vAlign w:val="center"/>
          </w:tcPr>
          <w:p w14:paraId="1659FF79">
            <w:pPr>
              <w:jc w:val="center"/>
              <w:rPr>
                <w:rFonts w:eastAsia="仿宋_GB2312"/>
                <w:kern w:val="0"/>
                <w:sz w:val="18"/>
                <w:szCs w:val="18"/>
              </w:rPr>
            </w:pPr>
            <w:r>
              <w:rPr>
                <w:rFonts w:eastAsia="仿宋_GB2312"/>
                <w:kern w:val="0"/>
                <w:sz w:val="18"/>
                <w:szCs w:val="18"/>
              </w:rPr>
              <w:t>3</w:t>
            </w:r>
          </w:p>
        </w:tc>
        <w:tc>
          <w:tcPr>
            <w:tcW w:w="1370" w:type="dxa"/>
            <w:vAlign w:val="center"/>
          </w:tcPr>
          <w:p w14:paraId="15AA8985">
            <w:pPr>
              <w:jc w:val="center"/>
              <w:rPr>
                <w:rFonts w:eastAsia="仿宋_GB2312"/>
                <w:kern w:val="0"/>
                <w:sz w:val="18"/>
                <w:szCs w:val="18"/>
              </w:rPr>
            </w:pPr>
            <w:r>
              <w:rPr>
                <w:rFonts w:hint="eastAsia" w:eastAsia="仿宋_GB2312"/>
                <w:kern w:val="0"/>
                <w:sz w:val="18"/>
                <w:szCs w:val="18"/>
              </w:rPr>
              <w:t>胡建芳、凌青、</w:t>
            </w:r>
            <w:r>
              <w:rPr>
                <w:rFonts w:hint="eastAsia" w:eastAsia="仿宋_GB2312"/>
                <w:kern w:val="0"/>
                <w:sz w:val="18"/>
                <w:szCs w:val="18"/>
                <w:lang w:val="en-US" w:eastAsia="zh-CN"/>
              </w:rPr>
              <w:t>杨磊、李洽</w:t>
            </w:r>
          </w:p>
        </w:tc>
        <w:tc>
          <w:tcPr>
            <w:tcW w:w="773" w:type="dxa"/>
            <w:vAlign w:val="center"/>
          </w:tcPr>
          <w:p w14:paraId="4A6A6E82">
            <w:pPr>
              <w:spacing w:line="500" w:lineRule="exact"/>
              <w:jc w:val="center"/>
              <w:rPr>
                <w:rFonts w:hint="eastAsia" w:ascii="仿宋_GB2312" w:hAnsi="华文仿宋" w:eastAsia="仿宋_GB2312"/>
                <w:kern w:val="0"/>
                <w:sz w:val="18"/>
                <w:szCs w:val="18"/>
                <w:lang w:eastAsia="zh-CN"/>
              </w:rPr>
            </w:pPr>
            <w:r>
              <w:rPr>
                <w:rFonts w:hint="eastAsia" w:ascii="仿宋_GB2312" w:hAnsi="华文仿宋" w:eastAsia="仿宋_GB2312"/>
                <w:kern w:val="0"/>
                <w:sz w:val="18"/>
                <w:szCs w:val="18"/>
                <w:lang w:val="en-US" w:eastAsia="zh-CN"/>
              </w:rPr>
              <w:t>春</w:t>
            </w:r>
          </w:p>
        </w:tc>
      </w:tr>
      <w:tr w14:paraId="64701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1" w:hRule="atLeast"/>
        </w:trPr>
        <w:tc>
          <w:tcPr>
            <w:tcW w:w="536" w:type="dxa"/>
            <w:vMerge w:val="continue"/>
            <w:vAlign w:val="center"/>
          </w:tcPr>
          <w:p w14:paraId="580CBBFF">
            <w:pPr>
              <w:spacing w:line="500" w:lineRule="exact"/>
              <w:jc w:val="center"/>
              <w:rPr>
                <w:rFonts w:hint="eastAsia" w:ascii="仿宋_GB2312" w:hAnsi="华文仿宋" w:eastAsia="仿宋_GB2312"/>
                <w:kern w:val="0"/>
                <w:sz w:val="18"/>
                <w:szCs w:val="18"/>
              </w:rPr>
            </w:pPr>
          </w:p>
        </w:tc>
        <w:tc>
          <w:tcPr>
            <w:tcW w:w="567" w:type="dxa"/>
            <w:vMerge w:val="continue"/>
            <w:textDirection w:val="tbRlV"/>
            <w:vAlign w:val="center"/>
          </w:tcPr>
          <w:p w14:paraId="7B951A72">
            <w:pPr>
              <w:spacing w:line="500" w:lineRule="exact"/>
              <w:ind w:left="113" w:right="113"/>
              <w:jc w:val="center"/>
              <w:rPr>
                <w:rFonts w:hint="eastAsia" w:ascii="仿宋_GB2312" w:hAnsi="华文仿宋" w:eastAsia="仿宋_GB2312"/>
                <w:kern w:val="0"/>
                <w:sz w:val="18"/>
                <w:szCs w:val="18"/>
              </w:rPr>
            </w:pPr>
          </w:p>
        </w:tc>
        <w:tc>
          <w:tcPr>
            <w:tcW w:w="1125" w:type="dxa"/>
            <w:vAlign w:val="center"/>
          </w:tcPr>
          <w:p w14:paraId="22248E70">
            <w:pPr>
              <w:jc w:val="center"/>
              <w:rPr>
                <w:rFonts w:eastAsia="仿宋_GB2312"/>
                <w:kern w:val="0"/>
                <w:sz w:val="18"/>
                <w:szCs w:val="18"/>
              </w:rPr>
            </w:pPr>
            <w:r>
              <w:rPr>
                <w:rFonts w:hint="eastAsia" w:eastAsia="仿宋_GB2312"/>
                <w:kern w:val="0"/>
                <w:sz w:val="18"/>
                <w:szCs w:val="18"/>
              </w:rPr>
              <w:t>DCS5701</w:t>
            </w:r>
          </w:p>
        </w:tc>
        <w:tc>
          <w:tcPr>
            <w:tcW w:w="3650" w:type="dxa"/>
            <w:vAlign w:val="center"/>
          </w:tcPr>
          <w:p w14:paraId="47527E23">
            <w:pPr>
              <w:jc w:val="center"/>
              <w:rPr>
                <w:rFonts w:eastAsia="仿宋_GB2312"/>
                <w:kern w:val="0"/>
                <w:sz w:val="18"/>
                <w:szCs w:val="18"/>
              </w:rPr>
            </w:pPr>
            <w:r>
              <w:rPr>
                <w:rFonts w:hint="eastAsia" w:eastAsia="仿宋_GB2312"/>
                <w:kern w:val="0"/>
                <w:sz w:val="18"/>
                <w:szCs w:val="18"/>
              </w:rPr>
              <w:t>学术前沿讲座</w:t>
            </w:r>
          </w:p>
          <w:p w14:paraId="6F791E73">
            <w:pPr>
              <w:jc w:val="center"/>
              <w:rPr>
                <w:rFonts w:eastAsia="仿宋_GB2312"/>
                <w:kern w:val="0"/>
                <w:sz w:val="18"/>
                <w:szCs w:val="18"/>
              </w:rPr>
            </w:pPr>
            <w:r>
              <w:rPr>
                <w:rFonts w:eastAsia="仿宋_GB2312"/>
                <w:kern w:val="0"/>
                <w:sz w:val="18"/>
                <w:szCs w:val="18"/>
              </w:rPr>
              <w:t>Academic Frontier Lecture</w:t>
            </w:r>
          </w:p>
        </w:tc>
        <w:tc>
          <w:tcPr>
            <w:tcW w:w="540" w:type="dxa"/>
            <w:vAlign w:val="center"/>
          </w:tcPr>
          <w:p w14:paraId="149211B9">
            <w:pPr>
              <w:jc w:val="center"/>
              <w:rPr>
                <w:rFonts w:eastAsia="仿宋_GB2312"/>
                <w:kern w:val="0"/>
                <w:sz w:val="18"/>
                <w:szCs w:val="18"/>
              </w:rPr>
            </w:pPr>
            <w:r>
              <w:rPr>
                <w:rFonts w:hint="eastAsia" w:eastAsia="仿宋_GB2312"/>
                <w:kern w:val="0"/>
                <w:sz w:val="18"/>
                <w:szCs w:val="18"/>
              </w:rPr>
              <w:t>36</w:t>
            </w:r>
          </w:p>
        </w:tc>
        <w:tc>
          <w:tcPr>
            <w:tcW w:w="480" w:type="dxa"/>
            <w:vAlign w:val="center"/>
          </w:tcPr>
          <w:p w14:paraId="42BEA812">
            <w:pPr>
              <w:jc w:val="center"/>
              <w:rPr>
                <w:rFonts w:eastAsia="仿宋_GB2312"/>
                <w:kern w:val="0"/>
                <w:sz w:val="18"/>
                <w:szCs w:val="18"/>
              </w:rPr>
            </w:pPr>
            <w:r>
              <w:rPr>
                <w:rFonts w:hint="eastAsia" w:eastAsia="仿宋_GB2312"/>
                <w:kern w:val="0"/>
                <w:sz w:val="18"/>
                <w:szCs w:val="18"/>
              </w:rPr>
              <w:t>2</w:t>
            </w:r>
          </w:p>
        </w:tc>
        <w:tc>
          <w:tcPr>
            <w:tcW w:w="1370" w:type="dxa"/>
            <w:vAlign w:val="center"/>
          </w:tcPr>
          <w:p w14:paraId="2742876B">
            <w:pPr>
              <w:jc w:val="center"/>
              <w:rPr>
                <w:rFonts w:eastAsia="仿宋_GB2312"/>
                <w:kern w:val="0"/>
                <w:sz w:val="18"/>
                <w:szCs w:val="18"/>
              </w:rPr>
            </w:pPr>
            <w:r>
              <w:rPr>
                <w:rFonts w:hint="eastAsia" w:eastAsia="仿宋_GB2312"/>
                <w:kern w:val="0"/>
                <w:sz w:val="18"/>
                <w:szCs w:val="18"/>
              </w:rPr>
              <w:t>导师组</w:t>
            </w:r>
          </w:p>
        </w:tc>
        <w:tc>
          <w:tcPr>
            <w:tcW w:w="773" w:type="dxa"/>
            <w:vAlign w:val="center"/>
          </w:tcPr>
          <w:p w14:paraId="3E51D549">
            <w:pPr>
              <w:spacing w:line="500" w:lineRule="exact"/>
              <w:jc w:val="center"/>
              <w:rPr>
                <w:rFonts w:hint="default" w:ascii="仿宋_GB2312" w:hAnsi="华文仿宋" w:eastAsia="仿宋_GB2312"/>
                <w:kern w:val="0"/>
                <w:sz w:val="18"/>
                <w:szCs w:val="18"/>
                <w:lang w:val="en-US" w:eastAsia="zh-CN"/>
              </w:rPr>
            </w:pPr>
            <w:r>
              <w:rPr>
                <w:rFonts w:hint="eastAsia" w:ascii="仿宋_GB2312" w:hAnsi="华文仿宋" w:eastAsia="仿宋_GB2312"/>
                <w:kern w:val="0"/>
                <w:sz w:val="18"/>
                <w:szCs w:val="18"/>
                <w:lang w:val="en-US" w:eastAsia="zh-CN"/>
              </w:rPr>
              <w:t>秋、春（必选）</w:t>
            </w:r>
          </w:p>
        </w:tc>
      </w:tr>
      <w:tr w14:paraId="2FE722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trPr>
        <w:tc>
          <w:tcPr>
            <w:tcW w:w="536" w:type="dxa"/>
            <w:vMerge w:val="continue"/>
            <w:vAlign w:val="center"/>
          </w:tcPr>
          <w:p w14:paraId="309FDB2B">
            <w:pPr>
              <w:spacing w:line="500" w:lineRule="exact"/>
              <w:jc w:val="center"/>
              <w:rPr>
                <w:rFonts w:hint="eastAsia" w:ascii="仿宋_GB2312" w:hAnsi="华文仿宋" w:eastAsia="仿宋_GB2312"/>
                <w:kern w:val="0"/>
                <w:sz w:val="18"/>
                <w:szCs w:val="18"/>
              </w:rPr>
            </w:pPr>
          </w:p>
        </w:tc>
        <w:tc>
          <w:tcPr>
            <w:tcW w:w="567" w:type="dxa"/>
            <w:vMerge w:val="continue"/>
            <w:textDirection w:val="tbRlV"/>
            <w:vAlign w:val="center"/>
          </w:tcPr>
          <w:p w14:paraId="7FA7C4F4">
            <w:pPr>
              <w:spacing w:line="500" w:lineRule="exact"/>
              <w:ind w:left="113" w:right="113"/>
              <w:jc w:val="center"/>
              <w:rPr>
                <w:rFonts w:hint="eastAsia" w:ascii="仿宋_GB2312" w:hAnsi="华文仿宋" w:eastAsia="仿宋_GB2312"/>
                <w:kern w:val="0"/>
                <w:sz w:val="18"/>
                <w:szCs w:val="18"/>
              </w:rPr>
            </w:pPr>
          </w:p>
        </w:tc>
        <w:tc>
          <w:tcPr>
            <w:tcW w:w="1125" w:type="dxa"/>
            <w:vAlign w:val="center"/>
          </w:tcPr>
          <w:p w14:paraId="623BC328">
            <w:pPr>
              <w:jc w:val="center"/>
              <w:rPr>
                <w:rFonts w:eastAsia="仿宋_GB2312"/>
                <w:kern w:val="0"/>
                <w:sz w:val="18"/>
                <w:szCs w:val="18"/>
              </w:rPr>
            </w:pPr>
            <w:r>
              <w:rPr>
                <w:rFonts w:eastAsia="仿宋_GB2312"/>
                <w:kern w:val="0"/>
                <w:sz w:val="18"/>
                <w:szCs w:val="18"/>
              </w:rPr>
              <w:t>DCS</w:t>
            </w:r>
            <w:r>
              <w:rPr>
                <w:rFonts w:hint="eastAsia" w:eastAsia="仿宋_GB2312"/>
                <w:kern w:val="0"/>
                <w:sz w:val="18"/>
                <w:szCs w:val="18"/>
              </w:rPr>
              <w:t>5706</w:t>
            </w:r>
          </w:p>
        </w:tc>
        <w:tc>
          <w:tcPr>
            <w:tcW w:w="3650" w:type="dxa"/>
            <w:vAlign w:val="center"/>
          </w:tcPr>
          <w:p w14:paraId="241EF964">
            <w:pPr>
              <w:jc w:val="center"/>
              <w:rPr>
                <w:rFonts w:eastAsia="仿宋_GB2312"/>
                <w:kern w:val="0"/>
                <w:sz w:val="18"/>
                <w:szCs w:val="18"/>
              </w:rPr>
            </w:pPr>
            <w:r>
              <w:rPr>
                <w:rFonts w:hint="eastAsia" w:eastAsia="仿宋_GB2312"/>
                <w:kern w:val="0"/>
                <w:sz w:val="18"/>
                <w:szCs w:val="18"/>
              </w:rPr>
              <w:t>随机过程及应用</w:t>
            </w:r>
          </w:p>
          <w:p w14:paraId="7B1193BB">
            <w:pPr>
              <w:jc w:val="center"/>
              <w:rPr>
                <w:rFonts w:eastAsia="仿宋_GB2312"/>
                <w:kern w:val="0"/>
                <w:sz w:val="18"/>
                <w:szCs w:val="18"/>
              </w:rPr>
            </w:pPr>
            <w:r>
              <w:rPr>
                <w:rFonts w:eastAsia="仿宋_GB2312"/>
                <w:kern w:val="0"/>
                <w:sz w:val="18"/>
                <w:szCs w:val="18"/>
              </w:rPr>
              <w:t>Stochastic Process and Its Applications</w:t>
            </w:r>
          </w:p>
        </w:tc>
        <w:tc>
          <w:tcPr>
            <w:tcW w:w="540" w:type="dxa"/>
            <w:vAlign w:val="center"/>
          </w:tcPr>
          <w:p w14:paraId="6C5D6617">
            <w:pPr>
              <w:jc w:val="center"/>
              <w:rPr>
                <w:rFonts w:eastAsia="仿宋_GB2312"/>
                <w:kern w:val="0"/>
                <w:sz w:val="18"/>
                <w:szCs w:val="18"/>
              </w:rPr>
            </w:pPr>
            <w:r>
              <w:rPr>
                <w:rFonts w:eastAsia="仿宋_GB2312"/>
                <w:kern w:val="0"/>
                <w:sz w:val="18"/>
                <w:szCs w:val="18"/>
              </w:rPr>
              <w:t>54</w:t>
            </w:r>
          </w:p>
        </w:tc>
        <w:tc>
          <w:tcPr>
            <w:tcW w:w="480" w:type="dxa"/>
            <w:vAlign w:val="center"/>
          </w:tcPr>
          <w:p w14:paraId="5622759E">
            <w:pPr>
              <w:jc w:val="center"/>
              <w:rPr>
                <w:rFonts w:eastAsia="仿宋_GB2312"/>
                <w:kern w:val="0"/>
                <w:sz w:val="18"/>
                <w:szCs w:val="18"/>
              </w:rPr>
            </w:pPr>
            <w:r>
              <w:rPr>
                <w:rFonts w:eastAsia="仿宋_GB2312"/>
                <w:kern w:val="0"/>
                <w:sz w:val="18"/>
                <w:szCs w:val="18"/>
              </w:rPr>
              <w:t>3</w:t>
            </w:r>
          </w:p>
        </w:tc>
        <w:tc>
          <w:tcPr>
            <w:tcW w:w="1370" w:type="dxa"/>
            <w:vAlign w:val="center"/>
          </w:tcPr>
          <w:p w14:paraId="03071295">
            <w:pPr>
              <w:jc w:val="center"/>
              <w:rPr>
                <w:rFonts w:eastAsia="仿宋_GB2312"/>
                <w:kern w:val="0"/>
                <w:sz w:val="18"/>
                <w:szCs w:val="18"/>
              </w:rPr>
            </w:pPr>
            <w:r>
              <w:rPr>
                <w:rFonts w:hint="eastAsia" w:eastAsia="仿宋_GB2312"/>
                <w:kern w:val="0"/>
                <w:sz w:val="18"/>
                <w:szCs w:val="18"/>
              </w:rPr>
              <w:t>马啸、龚杰、蔡穗华</w:t>
            </w:r>
          </w:p>
        </w:tc>
        <w:tc>
          <w:tcPr>
            <w:tcW w:w="773" w:type="dxa"/>
            <w:vAlign w:val="center"/>
          </w:tcPr>
          <w:p w14:paraId="41608BFC">
            <w:pPr>
              <w:spacing w:line="500" w:lineRule="exact"/>
              <w:jc w:val="center"/>
              <w:rPr>
                <w:rFonts w:hint="eastAsia" w:ascii="仿宋_GB2312" w:hAnsi="华文仿宋" w:eastAsia="仿宋_GB2312"/>
                <w:kern w:val="0"/>
                <w:sz w:val="18"/>
                <w:szCs w:val="18"/>
                <w:lang w:eastAsia="zh-CN"/>
              </w:rPr>
            </w:pPr>
            <w:r>
              <w:rPr>
                <w:rFonts w:hint="eastAsia" w:ascii="仿宋_GB2312" w:hAnsi="华文仿宋" w:eastAsia="仿宋_GB2312"/>
                <w:kern w:val="0"/>
                <w:sz w:val="18"/>
                <w:szCs w:val="18"/>
                <w:lang w:val="en-US" w:eastAsia="zh-CN"/>
              </w:rPr>
              <w:t>秋</w:t>
            </w:r>
          </w:p>
        </w:tc>
      </w:tr>
      <w:tr w14:paraId="6C015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 w:hRule="atLeast"/>
        </w:trPr>
        <w:tc>
          <w:tcPr>
            <w:tcW w:w="1103" w:type="dxa"/>
            <w:gridSpan w:val="2"/>
            <w:vMerge w:val="restart"/>
            <w:textDirection w:val="tbRlV"/>
            <w:vAlign w:val="center"/>
          </w:tcPr>
          <w:p w14:paraId="65271833">
            <w:pPr>
              <w:spacing w:line="500" w:lineRule="exact"/>
              <w:ind w:left="113" w:right="113"/>
              <w:jc w:val="center"/>
              <w:rPr>
                <w:rFonts w:hint="eastAsia" w:ascii="仿宋_GB2312" w:hAnsi="华文仿宋" w:eastAsia="仿宋_GB2312"/>
                <w:kern w:val="0"/>
                <w:sz w:val="18"/>
                <w:szCs w:val="18"/>
              </w:rPr>
            </w:pPr>
            <w:r>
              <w:rPr>
                <w:rFonts w:hint="eastAsia" w:ascii="仿宋_GB2312" w:hAnsi="华文仿宋" w:eastAsia="仿宋_GB2312"/>
                <w:kern w:val="0"/>
                <w:sz w:val="18"/>
                <w:szCs w:val="18"/>
              </w:rPr>
              <w:t>选修课</w:t>
            </w:r>
          </w:p>
        </w:tc>
        <w:tc>
          <w:tcPr>
            <w:tcW w:w="1125" w:type="dxa"/>
            <w:tcBorders>
              <w:bottom w:val="single" w:color="auto" w:sz="4" w:space="0"/>
            </w:tcBorders>
            <w:vAlign w:val="center"/>
          </w:tcPr>
          <w:p w14:paraId="27D84D12">
            <w:pPr>
              <w:jc w:val="center"/>
              <w:rPr>
                <w:rFonts w:eastAsia="仿宋_GB2312"/>
                <w:kern w:val="0"/>
                <w:sz w:val="18"/>
                <w:szCs w:val="18"/>
              </w:rPr>
            </w:pPr>
            <w:r>
              <w:rPr>
                <w:rFonts w:eastAsia="仿宋_GB2312"/>
                <w:kern w:val="0"/>
                <w:sz w:val="18"/>
                <w:szCs w:val="18"/>
              </w:rPr>
              <w:t>DCS5233</w:t>
            </w:r>
          </w:p>
        </w:tc>
        <w:tc>
          <w:tcPr>
            <w:tcW w:w="3650" w:type="dxa"/>
            <w:tcBorders>
              <w:bottom w:val="single" w:color="auto" w:sz="4" w:space="0"/>
            </w:tcBorders>
            <w:vAlign w:val="center"/>
          </w:tcPr>
          <w:p w14:paraId="06D0F0B4">
            <w:pPr>
              <w:jc w:val="center"/>
              <w:rPr>
                <w:rFonts w:eastAsia="仿宋_GB2312"/>
                <w:kern w:val="0"/>
                <w:sz w:val="18"/>
                <w:szCs w:val="18"/>
              </w:rPr>
            </w:pPr>
            <w:r>
              <w:rPr>
                <w:rFonts w:hint="eastAsia" w:eastAsia="仿宋_GB2312"/>
                <w:kern w:val="0"/>
                <w:sz w:val="18"/>
                <w:szCs w:val="18"/>
              </w:rPr>
              <w:t>界面问题数值方法</w:t>
            </w:r>
          </w:p>
          <w:p w14:paraId="7ABC1047">
            <w:pPr>
              <w:jc w:val="center"/>
              <w:rPr>
                <w:rFonts w:eastAsia="仿宋_GB2312"/>
                <w:kern w:val="0"/>
                <w:sz w:val="18"/>
                <w:szCs w:val="18"/>
              </w:rPr>
            </w:pPr>
            <w:r>
              <w:rPr>
                <w:rFonts w:eastAsia="仿宋_GB2312"/>
                <w:kern w:val="0"/>
                <w:sz w:val="18"/>
                <w:szCs w:val="18"/>
              </w:rPr>
              <w:t>Numerical Methods for Interface Problems</w:t>
            </w:r>
          </w:p>
        </w:tc>
        <w:tc>
          <w:tcPr>
            <w:tcW w:w="540" w:type="dxa"/>
            <w:tcBorders>
              <w:bottom w:val="single" w:color="auto" w:sz="4" w:space="0"/>
            </w:tcBorders>
            <w:vAlign w:val="center"/>
          </w:tcPr>
          <w:p w14:paraId="26ACA8E0">
            <w:pPr>
              <w:jc w:val="center"/>
              <w:rPr>
                <w:rFonts w:eastAsia="仿宋_GB2312"/>
                <w:kern w:val="0"/>
                <w:sz w:val="18"/>
                <w:szCs w:val="18"/>
              </w:rPr>
            </w:pPr>
            <w:r>
              <w:rPr>
                <w:rFonts w:eastAsia="仿宋_GB2312"/>
                <w:kern w:val="0"/>
                <w:sz w:val="18"/>
                <w:szCs w:val="18"/>
              </w:rPr>
              <w:t>36</w:t>
            </w:r>
          </w:p>
        </w:tc>
        <w:tc>
          <w:tcPr>
            <w:tcW w:w="480" w:type="dxa"/>
            <w:tcBorders>
              <w:bottom w:val="single" w:color="auto" w:sz="4" w:space="0"/>
            </w:tcBorders>
            <w:vAlign w:val="center"/>
          </w:tcPr>
          <w:p w14:paraId="48D76C3F">
            <w:pPr>
              <w:jc w:val="center"/>
              <w:rPr>
                <w:rFonts w:eastAsia="仿宋_GB2312"/>
                <w:kern w:val="0"/>
                <w:sz w:val="18"/>
                <w:szCs w:val="18"/>
              </w:rPr>
            </w:pPr>
            <w:r>
              <w:rPr>
                <w:rFonts w:eastAsia="仿宋_GB2312"/>
                <w:kern w:val="0"/>
                <w:sz w:val="18"/>
                <w:szCs w:val="18"/>
              </w:rPr>
              <w:t>2</w:t>
            </w:r>
          </w:p>
        </w:tc>
        <w:tc>
          <w:tcPr>
            <w:tcW w:w="1370" w:type="dxa"/>
            <w:vAlign w:val="center"/>
          </w:tcPr>
          <w:p w14:paraId="0B6082AF">
            <w:pPr>
              <w:jc w:val="center"/>
              <w:rPr>
                <w:rFonts w:eastAsia="仿宋_GB2312"/>
                <w:kern w:val="0"/>
                <w:sz w:val="18"/>
                <w:szCs w:val="18"/>
              </w:rPr>
            </w:pPr>
            <w:r>
              <w:rPr>
                <w:rFonts w:hint="eastAsia" w:eastAsia="仿宋_GB2312"/>
                <w:kern w:val="0"/>
                <w:sz w:val="18"/>
                <w:szCs w:val="18"/>
              </w:rPr>
              <w:t>谭志军</w:t>
            </w:r>
          </w:p>
        </w:tc>
        <w:tc>
          <w:tcPr>
            <w:tcW w:w="773" w:type="dxa"/>
            <w:vAlign w:val="center"/>
          </w:tcPr>
          <w:p w14:paraId="1082263B">
            <w:pPr>
              <w:spacing w:line="500" w:lineRule="exact"/>
              <w:jc w:val="center"/>
              <w:rPr>
                <w:rFonts w:hint="eastAsia" w:ascii="仿宋_GB2312" w:hAnsi="华文仿宋" w:eastAsia="仿宋_GB2312"/>
                <w:kern w:val="0"/>
                <w:sz w:val="18"/>
                <w:szCs w:val="18"/>
                <w:lang w:val="en-US" w:eastAsia="zh-CN"/>
              </w:rPr>
            </w:pPr>
            <w:r>
              <w:rPr>
                <w:rFonts w:hint="eastAsia" w:ascii="仿宋_GB2312" w:hAnsi="华文仿宋" w:eastAsia="仿宋_GB2312"/>
                <w:kern w:val="0"/>
                <w:sz w:val="18"/>
                <w:szCs w:val="18"/>
                <w:lang w:val="en-US" w:eastAsia="zh-CN"/>
              </w:rPr>
              <w:t>春</w:t>
            </w:r>
          </w:p>
        </w:tc>
      </w:tr>
      <w:tr w14:paraId="39125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 w:hRule="atLeast"/>
        </w:trPr>
        <w:tc>
          <w:tcPr>
            <w:tcW w:w="1103" w:type="dxa"/>
            <w:gridSpan w:val="2"/>
            <w:vMerge w:val="continue"/>
          </w:tcPr>
          <w:p w14:paraId="53A79F80">
            <w:pPr>
              <w:spacing w:line="500" w:lineRule="exact"/>
              <w:ind w:left="113" w:right="113"/>
              <w:jc w:val="center"/>
              <w:rPr>
                <w:rFonts w:hint="eastAsia" w:ascii="仿宋_GB2312" w:hAnsi="华文仿宋" w:eastAsia="仿宋_GB2312"/>
                <w:kern w:val="0"/>
                <w:sz w:val="18"/>
                <w:szCs w:val="18"/>
              </w:rPr>
            </w:pPr>
          </w:p>
        </w:tc>
        <w:tc>
          <w:tcPr>
            <w:tcW w:w="1125" w:type="dxa"/>
            <w:vAlign w:val="center"/>
          </w:tcPr>
          <w:p w14:paraId="609ED3BB">
            <w:pPr>
              <w:jc w:val="center"/>
              <w:rPr>
                <w:rFonts w:eastAsia="仿宋_GB2312"/>
                <w:kern w:val="0"/>
                <w:sz w:val="18"/>
                <w:szCs w:val="18"/>
              </w:rPr>
            </w:pPr>
            <w:r>
              <w:rPr>
                <w:rFonts w:hint="eastAsia" w:eastAsia="仿宋_GB2312"/>
                <w:kern w:val="0"/>
                <w:sz w:val="18"/>
                <w:szCs w:val="18"/>
              </w:rPr>
              <w:t>DCS5707</w:t>
            </w:r>
          </w:p>
        </w:tc>
        <w:tc>
          <w:tcPr>
            <w:tcW w:w="3650" w:type="dxa"/>
            <w:vAlign w:val="center"/>
          </w:tcPr>
          <w:p w14:paraId="342651C5">
            <w:pPr>
              <w:jc w:val="center"/>
              <w:rPr>
                <w:rFonts w:eastAsia="仿宋_GB2312"/>
                <w:kern w:val="0"/>
                <w:sz w:val="18"/>
                <w:szCs w:val="18"/>
              </w:rPr>
            </w:pPr>
            <w:r>
              <w:rPr>
                <w:rFonts w:hint="eastAsia" w:eastAsia="仿宋_GB2312"/>
                <w:kern w:val="0"/>
                <w:sz w:val="18"/>
                <w:szCs w:val="18"/>
              </w:rPr>
              <w:t>人工智能原理与方法</w:t>
            </w:r>
          </w:p>
          <w:p w14:paraId="02DBB36C">
            <w:pPr>
              <w:jc w:val="center"/>
              <w:rPr>
                <w:rFonts w:eastAsia="仿宋_GB2312"/>
                <w:kern w:val="0"/>
                <w:sz w:val="18"/>
                <w:szCs w:val="18"/>
              </w:rPr>
            </w:pPr>
            <w:r>
              <w:rPr>
                <w:rFonts w:eastAsia="仿宋_GB2312"/>
                <w:kern w:val="0"/>
                <w:sz w:val="18"/>
                <w:szCs w:val="18"/>
              </w:rPr>
              <w:t>Principles and Methods of Artificial Intelligence</w:t>
            </w:r>
          </w:p>
        </w:tc>
        <w:tc>
          <w:tcPr>
            <w:tcW w:w="540" w:type="dxa"/>
            <w:vAlign w:val="center"/>
          </w:tcPr>
          <w:p w14:paraId="663B4302">
            <w:pPr>
              <w:jc w:val="center"/>
              <w:rPr>
                <w:rFonts w:eastAsia="仿宋_GB2312"/>
                <w:kern w:val="0"/>
                <w:sz w:val="18"/>
                <w:szCs w:val="18"/>
              </w:rPr>
            </w:pPr>
            <w:r>
              <w:rPr>
                <w:rFonts w:eastAsia="仿宋_GB2312"/>
                <w:kern w:val="0"/>
                <w:sz w:val="18"/>
                <w:szCs w:val="18"/>
              </w:rPr>
              <w:t>54</w:t>
            </w:r>
          </w:p>
        </w:tc>
        <w:tc>
          <w:tcPr>
            <w:tcW w:w="480" w:type="dxa"/>
            <w:vAlign w:val="center"/>
          </w:tcPr>
          <w:p w14:paraId="0A868B0E">
            <w:pPr>
              <w:jc w:val="center"/>
              <w:rPr>
                <w:rFonts w:eastAsia="仿宋_GB2312"/>
                <w:kern w:val="0"/>
                <w:sz w:val="18"/>
                <w:szCs w:val="18"/>
              </w:rPr>
            </w:pPr>
            <w:r>
              <w:rPr>
                <w:rFonts w:eastAsia="仿宋_GB2312"/>
                <w:kern w:val="0"/>
                <w:sz w:val="18"/>
                <w:szCs w:val="18"/>
              </w:rPr>
              <w:t>3</w:t>
            </w:r>
          </w:p>
        </w:tc>
        <w:tc>
          <w:tcPr>
            <w:tcW w:w="1370" w:type="dxa"/>
            <w:vAlign w:val="center"/>
          </w:tcPr>
          <w:p w14:paraId="66915E11">
            <w:pPr>
              <w:jc w:val="center"/>
              <w:rPr>
                <w:rFonts w:eastAsia="仿宋_GB2312"/>
                <w:kern w:val="0"/>
                <w:sz w:val="18"/>
                <w:szCs w:val="18"/>
              </w:rPr>
            </w:pPr>
            <w:r>
              <w:rPr>
                <w:rFonts w:hint="eastAsia" w:eastAsia="仿宋_GB2312"/>
                <w:kern w:val="0"/>
                <w:sz w:val="18"/>
                <w:szCs w:val="18"/>
              </w:rPr>
              <w:t>王甲海、潘嵘、饶洋辉、林倞、李冠彬、赖韩江、苏勤亮、梁上松、</w:t>
            </w:r>
            <w:r>
              <w:rPr>
                <w:rFonts w:hint="default" w:eastAsia="仿宋_GB2312"/>
                <w:kern w:val="0"/>
                <w:sz w:val="18"/>
                <w:szCs w:val="18"/>
                <w:lang w:val="en-US"/>
              </w:rPr>
              <w:t>曾坤、吴贺俊</w:t>
            </w:r>
            <w:r>
              <w:rPr>
                <w:rFonts w:hint="eastAsia" w:eastAsia="仿宋_GB2312"/>
                <w:kern w:val="0"/>
                <w:sz w:val="18"/>
                <w:szCs w:val="18"/>
                <w:lang w:val="en-US" w:eastAsia="zh-CN"/>
              </w:rPr>
              <w:t>任江涛、王可泽</w:t>
            </w:r>
          </w:p>
        </w:tc>
        <w:tc>
          <w:tcPr>
            <w:tcW w:w="773" w:type="dxa"/>
            <w:vAlign w:val="center"/>
          </w:tcPr>
          <w:p w14:paraId="71D2A50A">
            <w:pPr>
              <w:spacing w:line="500" w:lineRule="exact"/>
              <w:jc w:val="center"/>
              <w:rPr>
                <w:rFonts w:hint="eastAsia" w:ascii="仿宋_GB2312" w:hAnsi="华文仿宋" w:eastAsia="仿宋_GB2312"/>
                <w:kern w:val="0"/>
                <w:sz w:val="18"/>
                <w:szCs w:val="18"/>
                <w:lang w:val="en-US" w:eastAsia="zh-CN"/>
              </w:rPr>
            </w:pPr>
            <w:r>
              <w:rPr>
                <w:rFonts w:hint="eastAsia" w:ascii="仿宋_GB2312" w:hAnsi="华文仿宋" w:eastAsia="仿宋_GB2312"/>
                <w:kern w:val="0"/>
                <w:sz w:val="18"/>
                <w:szCs w:val="18"/>
                <w:lang w:val="en-US" w:eastAsia="zh-CN"/>
              </w:rPr>
              <w:t>秋</w:t>
            </w:r>
          </w:p>
        </w:tc>
      </w:tr>
      <w:tr w14:paraId="077A52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 w:hRule="atLeast"/>
        </w:trPr>
        <w:tc>
          <w:tcPr>
            <w:tcW w:w="1103" w:type="dxa"/>
            <w:gridSpan w:val="2"/>
            <w:vMerge w:val="continue"/>
          </w:tcPr>
          <w:p w14:paraId="7189BB66">
            <w:pPr>
              <w:spacing w:line="500" w:lineRule="exact"/>
              <w:jc w:val="center"/>
              <w:rPr>
                <w:rFonts w:hint="eastAsia" w:ascii="仿宋_GB2312" w:hAnsi="华文仿宋" w:eastAsia="仿宋_GB2312"/>
                <w:kern w:val="0"/>
                <w:sz w:val="18"/>
                <w:szCs w:val="18"/>
              </w:rPr>
            </w:pPr>
          </w:p>
        </w:tc>
        <w:tc>
          <w:tcPr>
            <w:tcW w:w="1125" w:type="dxa"/>
            <w:vAlign w:val="center"/>
          </w:tcPr>
          <w:p w14:paraId="4BE73735">
            <w:pPr>
              <w:jc w:val="center"/>
              <w:rPr>
                <w:rFonts w:eastAsia="仿宋_GB2312"/>
                <w:kern w:val="0"/>
                <w:sz w:val="18"/>
                <w:szCs w:val="18"/>
              </w:rPr>
            </w:pPr>
            <w:r>
              <w:rPr>
                <w:rFonts w:eastAsia="仿宋_GB2312"/>
                <w:kern w:val="0"/>
                <w:sz w:val="18"/>
                <w:szCs w:val="18"/>
              </w:rPr>
              <w:t>DCS</w:t>
            </w:r>
            <w:r>
              <w:rPr>
                <w:rFonts w:hint="eastAsia" w:eastAsia="仿宋_GB2312"/>
                <w:kern w:val="0"/>
                <w:sz w:val="18"/>
                <w:szCs w:val="18"/>
              </w:rPr>
              <w:t>5254</w:t>
            </w:r>
          </w:p>
        </w:tc>
        <w:tc>
          <w:tcPr>
            <w:tcW w:w="3650" w:type="dxa"/>
            <w:vAlign w:val="center"/>
          </w:tcPr>
          <w:p w14:paraId="516F91BB">
            <w:pPr>
              <w:jc w:val="center"/>
              <w:rPr>
                <w:rFonts w:eastAsia="仿宋_GB2312"/>
                <w:kern w:val="0"/>
                <w:sz w:val="18"/>
                <w:szCs w:val="18"/>
              </w:rPr>
            </w:pPr>
            <w:r>
              <w:rPr>
                <w:rFonts w:hint="eastAsia" w:eastAsia="仿宋_GB2312"/>
                <w:kern w:val="0"/>
                <w:sz w:val="18"/>
                <w:szCs w:val="18"/>
              </w:rPr>
              <w:t>现代偏微分方程计算方法</w:t>
            </w:r>
          </w:p>
          <w:p w14:paraId="3A175E11">
            <w:pPr>
              <w:jc w:val="center"/>
              <w:rPr>
                <w:rFonts w:eastAsia="仿宋_GB2312"/>
                <w:kern w:val="0"/>
                <w:sz w:val="18"/>
                <w:szCs w:val="18"/>
              </w:rPr>
            </w:pPr>
            <w:r>
              <w:rPr>
                <w:rFonts w:eastAsia="仿宋_GB2312"/>
                <w:kern w:val="0"/>
                <w:sz w:val="18"/>
                <w:szCs w:val="18"/>
              </w:rPr>
              <w:t>Modern Methods for Calculating Partial Differential Equations</w:t>
            </w:r>
          </w:p>
        </w:tc>
        <w:tc>
          <w:tcPr>
            <w:tcW w:w="540" w:type="dxa"/>
            <w:vAlign w:val="center"/>
          </w:tcPr>
          <w:p w14:paraId="5E4F8818">
            <w:pPr>
              <w:jc w:val="center"/>
              <w:rPr>
                <w:rFonts w:eastAsia="仿宋_GB2312"/>
                <w:kern w:val="0"/>
                <w:sz w:val="18"/>
                <w:szCs w:val="18"/>
              </w:rPr>
            </w:pPr>
            <w:r>
              <w:rPr>
                <w:rFonts w:eastAsia="仿宋_GB2312"/>
                <w:kern w:val="0"/>
                <w:sz w:val="18"/>
                <w:szCs w:val="18"/>
              </w:rPr>
              <w:t>36</w:t>
            </w:r>
          </w:p>
        </w:tc>
        <w:tc>
          <w:tcPr>
            <w:tcW w:w="480" w:type="dxa"/>
            <w:vAlign w:val="center"/>
          </w:tcPr>
          <w:p w14:paraId="2C24EBF2">
            <w:pPr>
              <w:jc w:val="center"/>
              <w:rPr>
                <w:rFonts w:eastAsia="仿宋_GB2312"/>
                <w:kern w:val="0"/>
                <w:sz w:val="18"/>
                <w:szCs w:val="18"/>
              </w:rPr>
            </w:pPr>
            <w:r>
              <w:rPr>
                <w:rFonts w:eastAsia="仿宋_GB2312"/>
                <w:kern w:val="0"/>
                <w:sz w:val="18"/>
                <w:szCs w:val="18"/>
              </w:rPr>
              <w:t>2</w:t>
            </w:r>
          </w:p>
        </w:tc>
        <w:tc>
          <w:tcPr>
            <w:tcW w:w="1370" w:type="dxa"/>
            <w:vAlign w:val="center"/>
          </w:tcPr>
          <w:p w14:paraId="1F7C6202">
            <w:pPr>
              <w:jc w:val="center"/>
              <w:rPr>
                <w:rFonts w:hint="default" w:eastAsia="仿宋_GB2312"/>
                <w:kern w:val="0"/>
                <w:sz w:val="18"/>
                <w:szCs w:val="18"/>
                <w:lang w:val="en-US" w:eastAsia="zh-CN"/>
              </w:rPr>
            </w:pPr>
            <w:r>
              <w:rPr>
                <w:rFonts w:hint="eastAsia" w:eastAsia="仿宋_GB2312"/>
                <w:kern w:val="0"/>
                <w:sz w:val="18"/>
                <w:szCs w:val="18"/>
              </w:rPr>
              <w:t>邹青松、谭志军</w:t>
            </w:r>
            <w:r>
              <w:rPr>
                <w:rFonts w:hint="eastAsia" w:eastAsia="仿宋_GB2312"/>
                <w:kern w:val="0"/>
                <w:sz w:val="18"/>
                <w:szCs w:val="18"/>
                <w:lang w:eastAsia="zh-CN"/>
              </w:rPr>
              <w:t>、</w:t>
            </w:r>
            <w:r>
              <w:rPr>
                <w:rFonts w:hint="eastAsia" w:eastAsia="仿宋_GB2312"/>
                <w:kern w:val="0"/>
                <w:sz w:val="18"/>
                <w:szCs w:val="18"/>
                <w:lang w:val="en-US" w:eastAsia="zh-CN"/>
              </w:rPr>
              <w:t>汪涛</w:t>
            </w:r>
          </w:p>
        </w:tc>
        <w:tc>
          <w:tcPr>
            <w:tcW w:w="773" w:type="dxa"/>
            <w:vAlign w:val="center"/>
          </w:tcPr>
          <w:p w14:paraId="01C897F5">
            <w:pPr>
              <w:spacing w:line="500" w:lineRule="exact"/>
              <w:jc w:val="center"/>
              <w:rPr>
                <w:rFonts w:hint="eastAsia" w:ascii="仿宋_GB2312" w:hAnsi="华文仿宋" w:eastAsia="仿宋_GB2312"/>
                <w:kern w:val="0"/>
                <w:sz w:val="18"/>
                <w:szCs w:val="18"/>
                <w:lang w:val="en-US" w:eastAsia="zh-CN"/>
              </w:rPr>
            </w:pPr>
            <w:r>
              <w:rPr>
                <w:rFonts w:hint="eastAsia" w:ascii="仿宋_GB2312" w:hAnsi="华文仿宋" w:eastAsia="仿宋_GB2312"/>
                <w:kern w:val="0"/>
                <w:sz w:val="18"/>
                <w:szCs w:val="18"/>
                <w:lang w:val="en-US" w:eastAsia="zh-CN"/>
              </w:rPr>
              <w:t>春</w:t>
            </w:r>
          </w:p>
        </w:tc>
      </w:tr>
      <w:tr w14:paraId="6EAD82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 w:hRule="atLeast"/>
        </w:trPr>
        <w:tc>
          <w:tcPr>
            <w:tcW w:w="1103" w:type="dxa"/>
            <w:gridSpan w:val="2"/>
            <w:vMerge w:val="continue"/>
          </w:tcPr>
          <w:p w14:paraId="21D9377C">
            <w:pPr>
              <w:spacing w:line="500" w:lineRule="exact"/>
              <w:jc w:val="center"/>
              <w:rPr>
                <w:rFonts w:hint="eastAsia" w:ascii="仿宋_GB2312" w:hAnsi="华文仿宋" w:eastAsia="仿宋_GB2312"/>
                <w:kern w:val="0"/>
                <w:sz w:val="18"/>
                <w:szCs w:val="18"/>
              </w:rPr>
            </w:pPr>
          </w:p>
        </w:tc>
        <w:tc>
          <w:tcPr>
            <w:tcW w:w="1125" w:type="dxa"/>
            <w:vAlign w:val="center"/>
          </w:tcPr>
          <w:p w14:paraId="253251E9">
            <w:pPr>
              <w:jc w:val="center"/>
              <w:rPr>
                <w:rFonts w:eastAsia="仿宋_GB2312"/>
                <w:kern w:val="0"/>
                <w:sz w:val="18"/>
                <w:szCs w:val="18"/>
              </w:rPr>
            </w:pPr>
            <w:r>
              <w:rPr>
                <w:rFonts w:hint="eastAsia" w:eastAsia="仿宋_GB2312"/>
                <w:kern w:val="0"/>
                <w:sz w:val="18"/>
                <w:szCs w:val="18"/>
              </w:rPr>
              <w:t>DCS5705</w:t>
            </w:r>
          </w:p>
        </w:tc>
        <w:tc>
          <w:tcPr>
            <w:tcW w:w="3650" w:type="dxa"/>
            <w:vAlign w:val="center"/>
          </w:tcPr>
          <w:p w14:paraId="167D2486">
            <w:pPr>
              <w:jc w:val="center"/>
              <w:rPr>
                <w:rFonts w:eastAsia="仿宋_GB2312"/>
                <w:kern w:val="0"/>
                <w:sz w:val="18"/>
                <w:szCs w:val="18"/>
              </w:rPr>
            </w:pPr>
            <w:r>
              <w:rPr>
                <w:rFonts w:hint="eastAsia" w:eastAsia="仿宋_GB2312"/>
                <w:kern w:val="0"/>
                <w:sz w:val="18"/>
                <w:szCs w:val="18"/>
              </w:rPr>
              <w:t>计算机程序理论与模型</w:t>
            </w:r>
          </w:p>
          <w:p w14:paraId="59EEEA17">
            <w:pPr>
              <w:jc w:val="center"/>
              <w:rPr>
                <w:rFonts w:eastAsia="仿宋_GB2312"/>
                <w:kern w:val="0"/>
                <w:sz w:val="18"/>
                <w:szCs w:val="18"/>
              </w:rPr>
            </w:pPr>
            <w:r>
              <w:rPr>
                <w:rFonts w:eastAsia="仿宋_GB2312"/>
                <w:kern w:val="0"/>
                <w:sz w:val="18"/>
                <w:szCs w:val="18"/>
              </w:rPr>
              <w:t>Computer Program Theory and Modeling</w:t>
            </w:r>
          </w:p>
        </w:tc>
        <w:tc>
          <w:tcPr>
            <w:tcW w:w="540" w:type="dxa"/>
            <w:vAlign w:val="center"/>
          </w:tcPr>
          <w:p w14:paraId="3D976426">
            <w:pPr>
              <w:jc w:val="center"/>
              <w:rPr>
                <w:rFonts w:eastAsia="仿宋_GB2312"/>
                <w:kern w:val="0"/>
                <w:sz w:val="18"/>
                <w:szCs w:val="18"/>
              </w:rPr>
            </w:pPr>
            <w:r>
              <w:rPr>
                <w:rFonts w:hint="eastAsia" w:eastAsia="仿宋_GB2312"/>
                <w:kern w:val="0"/>
                <w:sz w:val="18"/>
                <w:szCs w:val="18"/>
              </w:rPr>
              <w:t>36</w:t>
            </w:r>
          </w:p>
        </w:tc>
        <w:tc>
          <w:tcPr>
            <w:tcW w:w="480" w:type="dxa"/>
            <w:vAlign w:val="center"/>
          </w:tcPr>
          <w:p w14:paraId="73E9DFF1">
            <w:pPr>
              <w:jc w:val="center"/>
              <w:rPr>
                <w:rFonts w:eastAsia="仿宋_GB2312"/>
                <w:kern w:val="0"/>
                <w:sz w:val="18"/>
                <w:szCs w:val="18"/>
              </w:rPr>
            </w:pPr>
            <w:r>
              <w:rPr>
                <w:rFonts w:hint="eastAsia" w:eastAsia="仿宋_GB2312"/>
                <w:kern w:val="0"/>
                <w:sz w:val="18"/>
                <w:szCs w:val="18"/>
              </w:rPr>
              <w:t>2</w:t>
            </w:r>
          </w:p>
        </w:tc>
        <w:tc>
          <w:tcPr>
            <w:tcW w:w="1370" w:type="dxa"/>
            <w:vAlign w:val="center"/>
          </w:tcPr>
          <w:p w14:paraId="6E410E18">
            <w:pPr>
              <w:jc w:val="center"/>
              <w:rPr>
                <w:rFonts w:eastAsia="仿宋_GB2312"/>
                <w:kern w:val="0"/>
                <w:sz w:val="18"/>
                <w:szCs w:val="18"/>
              </w:rPr>
            </w:pPr>
            <w:r>
              <w:rPr>
                <w:rFonts w:hint="eastAsia" w:eastAsia="仿宋_GB2312"/>
                <w:kern w:val="0"/>
                <w:sz w:val="18"/>
                <w:szCs w:val="18"/>
              </w:rPr>
              <w:t>万海</w:t>
            </w:r>
          </w:p>
        </w:tc>
        <w:tc>
          <w:tcPr>
            <w:tcW w:w="773" w:type="dxa"/>
            <w:vAlign w:val="center"/>
          </w:tcPr>
          <w:p w14:paraId="50C69E23">
            <w:pPr>
              <w:spacing w:line="500" w:lineRule="exact"/>
              <w:jc w:val="center"/>
              <w:rPr>
                <w:rFonts w:hint="eastAsia" w:ascii="仿宋_GB2312" w:hAnsi="华文仿宋" w:eastAsia="仿宋_GB2312"/>
                <w:kern w:val="0"/>
                <w:sz w:val="18"/>
                <w:szCs w:val="18"/>
                <w:lang w:val="en-US" w:eastAsia="zh-CN"/>
              </w:rPr>
            </w:pPr>
            <w:r>
              <w:rPr>
                <w:rFonts w:hint="eastAsia" w:ascii="仿宋_GB2312" w:hAnsi="华文仿宋" w:eastAsia="仿宋_GB2312"/>
                <w:kern w:val="0"/>
                <w:sz w:val="18"/>
                <w:szCs w:val="18"/>
                <w:lang w:val="en-US" w:eastAsia="zh-CN"/>
              </w:rPr>
              <w:t>春</w:t>
            </w:r>
          </w:p>
        </w:tc>
      </w:tr>
      <w:tr w14:paraId="3E64D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trPr>
        <w:tc>
          <w:tcPr>
            <w:tcW w:w="1103" w:type="dxa"/>
            <w:gridSpan w:val="2"/>
            <w:vMerge w:val="continue"/>
          </w:tcPr>
          <w:p w14:paraId="6ABB42D4">
            <w:pPr>
              <w:spacing w:line="500" w:lineRule="exact"/>
              <w:jc w:val="center"/>
              <w:rPr>
                <w:rFonts w:hint="eastAsia" w:ascii="仿宋_GB2312" w:hAnsi="华文仿宋" w:eastAsia="仿宋_GB2312"/>
                <w:kern w:val="0"/>
                <w:sz w:val="18"/>
                <w:szCs w:val="18"/>
              </w:rPr>
            </w:pPr>
          </w:p>
        </w:tc>
        <w:tc>
          <w:tcPr>
            <w:tcW w:w="1125" w:type="dxa"/>
            <w:vAlign w:val="center"/>
          </w:tcPr>
          <w:p w14:paraId="2CFFAEA9">
            <w:pPr>
              <w:jc w:val="center"/>
              <w:rPr>
                <w:rFonts w:eastAsia="仿宋_GB2312"/>
                <w:kern w:val="0"/>
                <w:sz w:val="18"/>
                <w:szCs w:val="18"/>
              </w:rPr>
            </w:pPr>
            <w:r>
              <w:rPr>
                <w:rFonts w:eastAsia="仿宋_GB2312"/>
                <w:kern w:val="0"/>
                <w:sz w:val="18"/>
                <w:szCs w:val="18"/>
              </w:rPr>
              <w:t>DCS5256</w:t>
            </w:r>
          </w:p>
        </w:tc>
        <w:tc>
          <w:tcPr>
            <w:tcW w:w="3650" w:type="dxa"/>
            <w:vAlign w:val="center"/>
          </w:tcPr>
          <w:p w14:paraId="67DC5598">
            <w:pPr>
              <w:jc w:val="center"/>
              <w:rPr>
                <w:rFonts w:eastAsia="仿宋_GB2312"/>
                <w:kern w:val="0"/>
                <w:sz w:val="18"/>
                <w:szCs w:val="18"/>
              </w:rPr>
            </w:pPr>
            <w:r>
              <w:rPr>
                <w:rFonts w:hint="eastAsia" w:eastAsia="仿宋_GB2312"/>
                <w:kern w:val="0"/>
                <w:sz w:val="18"/>
                <w:szCs w:val="18"/>
              </w:rPr>
              <w:t>复变函数</w:t>
            </w:r>
          </w:p>
          <w:p w14:paraId="0ACC9E02">
            <w:pPr>
              <w:jc w:val="center"/>
              <w:rPr>
                <w:rFonts w:eastAsia="仿宋_GB2312"/>
                <w:kern w:val="0"/>
                <w:sz w:val="18"/>
                <w:szCs w:val="18"/>
              </w:rPr>
            </w:pPr>
            <w:r>
              <w:rPr>
                <w:rFonts w:eastAsia="仿宋_GB2312"/>
                <w:kern w:val="0"/>
                <w:sz w:val="18"/>
                <w:szCs w:val="18"/>
              </w:rPr>
              <w:t>Functions of Complex Variables</w:t>
            </w:r>
          </w:p>
        </w:tc>
        <w:tc>
          <w:tcPr>
            <w:tcW w:w="540" w:type="dxa"/>
            <w:vAlign w:val="center"/>
          </w:tcPr>
          <w:p w14:paraId="66D67AE1">
            <w:pPr>
              <w:jc w:val="center"/>
              <w:rPr>
                <w:rFonts w:eastAsia="仿宋_GB2312"/>
                <w:kern w:val="0"/>
                <w:sz w:val="18"/>
                <w:szCs w:val="18"/>
              </w:rPr>
            </w:pPr>
            <w:r>
              <w:rPr>
                <w:rFonts w:eastAsia="仿宋_GB2312"/>
                <w:kern w:val="0"/>
                <w:sz w:val="18"/>
                <w:szCs w:val="18"/>
              </w:rPr>
              <w:t>36</w:t>
            </w:r>
          </w:p>
        </w:tc>
        <w:tc>
          <w:tcPr>
            <w:tcW w:w="480" w:type="dxa"/>
            <w:vAlign w:val="center"/>
          </w:tcPr>
          <w:p w14:paraId="4D3506DE">
            <w:pPr>
              <w:jc w:val="center"/>
              <w:rPr>
                <w:rFonts w:eastAsia="仿宋_GB2312"/>
                <w:kern w:val="0"/>
                <w:sz w:val="18"/>
                <w:szCs w:val="18"/>
              </w:rPr>
            </w:pPr>
            <w:r>
              <w:rPr>
                <w:rFonts w:eastAsia="仿宋_GB2312"/>
                <w:kern w:val="0"/>
                <w:sz w:val="18"/>
                <w:szCs w:val="18"/>
              </w:rPr>
              <w:t>2</w:t>
            </w:r>
          </w:p>
        </w:tc>
        <w:tc>
          <w:tcPr>
            <w:tcW w:w="1370" w:type="dxa"/>
            <w:vAlign w:val="center"/>
          </w:tcPr>
          <w:p w14:paraId="06555987">
            <w:pPr>
              <w:jc w:val="center"/>
              <w:rPr>
                <w:rFonts w:eastAsia="仿宋_GB2312"/>
                <w:kern w:val="0"/>
                <w:sz w:val="18"/>
                <w:szCs w:val="18"/>
              </w:rPr>
            </w:pPr>
            <w:r>
              <w:rPr>
                <w:rFonts w:hint="eastAsia" w:eastAsia="仿宋_GB2312"/>
                <w:kern w:val="0"/>
                <w:sz w:val="18"/>
                <w:szCs w:val="18"/>
              </w:rPr>
              <w:t>骆伟祺</w:t>
            </w:r>
          </w:p>
        </w:tc>
        <w:tc>
          <w:tcPr>
            <w:tcW w:w="773" w:type="dxa"/>
            <w:vAlign w:val="center"/>
          </w:tcPr>
          <w:p w14:paraId="13585295">
            <w:pPr>
              <w:spacing w:line="500" w:lineRule="exact"/>
              <w:jc w:val="center"/>
              <w:rPr>
                <w:rFonts w:hint="eastAsia" w:ascii="仿宋_GB2312" w:hAnsi="华文仿宋" w:eastAsia="仿宋_GB2312"/>
                <w:kern w:val="0"/>
                <w:sz w:val="18"/>
                <w:szCs w:val="18"/>
                <w:lang w:val="en-US" w:eastAsia="zh-CN"/>
              </w:rPr>
            </w:pPr>
            <w:r>
              <w:rPr>
                <w:rFonts w:hint="eastAsia" w:ascii="仿宋_GB2312" w:hAnsi="华文仿宋" w:eastAsia="仿宋_GB2312"/>
                <w:kern w:val="0"/>
                <w:sz w:val="18"/>
                <w:szCs w:val="18"/>
                <w:lang w:val="en-US" w:eastAsia="zh-CN"/>
              </w:rPr>
              <w:t>秋</w:t>
            </w:r>
          </w:p>
        </w:tc>
      </w:tr>
      <w:tr w14:paraId="31C48D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trPr>
        <w:tc>
          <w:tcPr>
            <w:tcW w:w="1103" w:type="dxa"/>
            <w:gridSpan w:val="2"/>
            <w:vMerge w:val="continue"/>
          </w:tcPr>
          <w:p w14:paraId="25306DF5">
            <w:pPr>
              <w:spacing w:line="500" w:lineRule="exact"/>
              <w:jc w:val="center"/>
              <w:rPr>
                <w:rFonts w:hint="eastAsia" w:ascii="仿宋_GB2312" w:hAnsi="华文仿宋" w:eastAsia="仿宋_GB2312"/>
                <w:kern w:val="0"/>
                <w:sz w:val="18"/>
                <w:szCs w:val="18"/>
              </w:rPr>
            </w:pPr>
          </w:p>
        </w:tc>
        <w:tc>
          <w:tcPr>
            <w:tcW w:w="1125" w:type="dxa"/>
            <w:vAlign w:val="center"/>
          </w:tcPr>
          <w:p w14:paraId="4DF70A73">
            <w:pPr>
              <w:jc w:val="center"/>
              <w:rPr>
                <w:rFonts w:eastAsia="仿宋_GB2312"/>
                <w:kern w:val="0"/>
                <w:sz w:val="18"/>
                <w:szCs w:val="18"/>
              </w:rPr>
            </w:pPr>
            <w:r>
              <w:rPr>
                <w:rFonts w:eastAsia="仿宋_GB2312"/>
                <w:kern w:val="0"/>
                <w:sz w:val="18"/>
                <w:szCs w:val="18"/>
              </w:rPr>
              <w:t>DCS5235</w:t>
            </w:r>
          </w:p>
        </w:tc>
        <w:tc>
          <w:tcPr>
            <w:tcW w:w="3650" w:type="dxa"/>
            <w:vAlign w:val="center"/>
          </w:tcPr>
          <w:p w14:paraId="1958AB55">
            <w:pPr>
              <w:jc w:val="center"/>
              <w:rPr>
                <w:rFonts w:eastAsia="仿宋_GB2312"/>
                <w:kern w:val="0"/>
                <w:sz w:val="18"/>
                <w:szCs w:val="18"/>
              </w:rPr>
            </w:pPr>
            <w:r>
              <w:rPr>
                <w:rFonts w:hint="eastAsia" w:eastAsia="仿宋_GB2312"/>
                <w:kern w:val="0"/>
                <w:sz w:val="18"/>
                <w:szCs w:val="18"/>
              </w:rPr>
              <w:t>线性积分方程理论与算法</w:t>
            </w:r>
          </w:p>
          <w:p w14:paraId="79B18F47">
            <w:pPr>
              <w:jc w:val="center"/>
              <w:rPr>
                <w:rFonts w:eastAsia="仿宋_GB2312"/>
                <w:kern w:val="0"/>
                <w:sz w:val="18"/>
                <w:szCs w:val="18"/>
              </w:rPr>
            </w:pPr>
            <w:r>
              <w:rPr>
                <w:rFonts w:eastAsia="仿宋_GB2312"/>
                <w:kern w:val="0"/>
                <w:sz w:val="18"/>
                <w:szCs w:val="18"/>
              </w:rPr>
              <w:t>Theory and Algorithms of Linear Integral Equations</w:t>
            </w:r>
          </w:p>
        </w:tc>
        <w:tc>
          <w:tcPr>
            <w:tcW w:w="540" w:type="dxa"/>
            <w:vAlign w:val="center"/>
          </w:tcPr>
          <w:p w14:paraId="2BD287DC">
            <w:pPr>
              <w:jc w:val="center"/>
              <w:rPr>
                <w:rFonts w:eastAsia="仿宋_GB2312"/>
                <w:kern w:val="0"/>
                <w:sz w:val="18"/>
                <w:szCs w:val="18"/>
              </w:rPr>
            </w:pPr>
            <w:r>
              <w:rPr>
                <w:rFonts w:eastAsia="仿宋_GB2312"/>
                <w:kern w:val="0"/>
                <w:sz w:val="18"/>
                <w:szCs w:val="18"/>
              </w:rPr>
              <w:t>36</w:t>
            </w:r>
          </w:p>
        </w:tc>
        <w:tc>
          <w:tcPr>
            <w:tcW w:w="480" w:type="dxa"/>
            <w:vAlign w:val="center"/>
          </w:tcPr>
          <w:p w14:paraId="46B2E082">
            <w:pPr>
              <w:jc w:val="center"/>
              <w:rPr>
                <w:rFonts w:eastAsia="仿宋_GB2312"/>
                <w:kern w:val="0"/>
                <w:sz w:val="18"/>
                <w:szCs w:val="18"/>
              </w:rPr>
            </w:pPr>
            <w:r>
              <w:rPr>
                <w:rFonts w:eastAsia="仿宋_GB2312"/>
                <w:kern w:val="0"/>
                <w:sz w:val="18"/>
                <w:szCs w:val="18"/>
              </w:rPr>
              <w:t>2</w:t>
            </w:r>
          </w:p>
        </w:tc>
        <w:tc>
          <w:tcPr>
            <w:tcW w:w="1370" w:type="dxa"/>
            <w:vAlign w:val="center"/>
          </w:tcPr>
          <w:p w14:paraId="575BB00B">
            <w:pPr>
              <w:jc w:val="center"/>
              <w:rPr>
                <w:rFonts w:eastAsia="仿宋_GB2312"/>
                <w:kern w:val="0"/>
                <w:sz w:val="18"/>
                <w:szCs w:val="18"/>
              </w:rPr>
            </w:pPr>
            <w:r>
              <w:rPr>
                <w:rFonts w:hint="eastAsia" w:eastAsia="仿宋_GB2312"/>
                <w:kern w:val="0"/>
                <w:sz w:val="18"/>
                <w:szCs w:val="18"/>
              </w:rPr>
              <w:t>江颖、衡益</w:t>
            </w:r>
          </w:p>
        </w:tc>
        <w:tc>
          <w:tcPr>
            <w:tcW w:w="773" w:type="dxa"/>
          </w:tcPr>
          <w:p w14:paraId="737D8782">
            <w:pPr>
              <w:spacing w:line="500" w:lineRule="exact"/>
              <w:jc w:val="center"/>
              <w:rPr>
                <w:rFonts w:hint="eastAsia" w:ascii="仿宋_GB2312" w:hAnsi="华文仿宋" w:eastAsia="仿宋_GB2312"/>
                <w:kern w:val="0"/>
                <w:sz w:val="18"/>
                <w:szCs w:val="18"/>
                <w:lang w:val="en-US" w:eastAsia="zh-CN"/>
              </w:rPr>
            </w:pPr>
            <w:r>
              <w:rPr>
                <w:rFonts w:hint="eastAsia" w:ascii="仿宋_GB2312" w:hAnsi="华文仿宋" w:eastAsia="仿宋_GB2312"/>
                <w:kern w:val="0"/>
                <w:sz w:val="18"/>
                <w:szCs w:val="18"/>
                <w:lang w:val="en-US" w:eastAsia="zh-CN"/>
              </w:rPr>
              <w:t>春</w:t>
            </w:r>
          </w:p>
        </w:tc>
      </w:tr>
      <w:tr w14:paraId="0DCD82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trPr>
        <w:tc>
          <w:tcPr>
            <w:tcW w:w="1103" w:type="dxa"/>
            <w:gridSpan w:val="2"/>
            <w:vMerge w:val="continue"/>
          </w:tcPr>
          <w:p w14:paraId="5E9A5A98">
            <w:pPr>
              <w:spacing w:line="500" w:lineRule="exact"/>
              <w:jc w:val="center"/>
              <w:rPr>
                <w:rFonts w:hint="eastAsia" w:ascii="仿宋_GB2312" w:hAnsi="华文仿宋" w:eastAsia="仿宋_GB2312"/>
                <w:kern w:val="0"/>
                <w:sz w:val="18"/>
                <w:szCs w:val="18"/>
              </w:rPr>
            </w:pPr>
          </w:p>
        </w:tc>
        <w:tc>
          <w:tcPr>
            <w:tcW w:w="1125" w:type="dxa"/>
            <w:vAlign w:val="center"/>
          </w:tcPr>
          <w:p w14:paraId="629262CA">
            <w:pPr>
              <w:jc w:val="center"/>
              <w:rPr>
                <w:rFonts w:eastAsia="仿宋_GB2312"/>
                <w:kern w:val="0"/>
                <w:sz w:val="18"/>
                <w:szCs w:val="18"/>
              </w:rPr>
            </w:pPr>
            <w:r>
              <w:rPr>
                <w:rFonts w:eastAsia="仿宋_GB2312"/>
                <w:kern w:val="0"/>
                <w:sz w:val="18"/>
                <w:szCs w:val="18"/>
              </w:rPr>
              <w:t>DCS5237</w:t>
            </w:r>
          </w:p>
        </w:tc>
        <w:tc>
          <w:tcPr>
            <w:tcW w:w="3650" w:type="dxa"/>
            <w:vAlign w:val="center"/>
          </w:tcPr>
          <w:p w14:paraId="24E4DCF7">
            <w:pPr>
              <w:jc w:val="center"/>
              <w:rPr>
                <w:rFonts w:eastAsia="仿宋_GB2312"/>
                <w:kern w:val="0"/>
                <w:sz w:val="18"/>
                <w:szCs w:val="18"/>
              </w:rPr>
            </w:pPr>
            <w:r>
              <w:rPr>
                <w:rFonts w:hint="eastAsia" w:eastAsia="仿宋_GB2312"/>
                <w:kern w:val="0"/>
                <w:sz w:val="18"/>
                <w:szCs w:val="18"/>
              </w:rPr>
              <w:t>量子计算</w:t>
            </w:r>
          </w:p>
          <w:p w14:paraId="7AFDB3B0">
            <w:pPr>
              <w:jc w:val="center"/>
              <w:rPr>
                <w:rFonts w:eastAsia="仿宋_GB2312"/>
                <w:kern w:val="0"/>
                <w:sz w:val="18"/>
                <w:szCs w:val="18"/>
              </w:rPr>
            </w:pPr>
            <w:r>
              <w:rPr>
                <w:rFonts w:eastAsia="仿宋_GB2312"/>
                <w:kern w:val="0"/>
                <w:sz w:val="18"/>
                <w:szCs w:val="18"/>
              </w:rPr>
              <w:t>Quantum Computation</w:t>
            </w:r>
          </w:p>
        </w:tc>
        <w:tc>
          <w:tcPr>
            <w:tcW w:w="540" w:type="dxa"/>
            <w:vAlign w:val="center"/>
          </w:tcPr>
          <w:p w14:paraId="71E35D79">
            <w:pPr>
              <w:jc w:val="center"/>
              <w:rPr>
                <w:rFonts w:eastAsia="仿宋_GB2312"/>
                <w:kern w:val="0"/>
                <w:sz w:val="18"/>
                <w:szCs w:val="18"/>
              </w:rPr>
            </w:pPr>
            <w:r>
              <w:rPr>
                <w:rFonts w:eastAsia="仿宋_GB2312"/>
                <w:kern w:val="0"/>
                <w:sz w:val="18"/>
                <w:szCs w:val="18"/>
              </w:rPr>
              <w:t>36</w:t>
            </w:r>
          </w:p>
        </w:tc>
        <w:tc>
          <w:tcPr>
            <w:tcW w:w="480" w:type="dxa"/>
            <w:vAlign w:val="center"/>
          </w:tcPr>
          <w:p w14:paraId="3A85D295">
            <w:pPr>
              <w:jc w:val="center"/>
              <w:rPr>
                <w:rFonts w:eastAsia="仿宋_GB2312"/>
                <w:kern w:val="0"/>
                <w:sz w:val="18"/>
                <w:szCs w:val="18"/>
              </w:rPr>
            </w:pPr>
            <w:r>
              <w:rPr>
                <w:rFonts w:eastAsia="仿宋_GB2312"/>
                <w:kern w:val="0"/>
                <w:sz w:val="18"/>
                <w:szCs w:val="18"/>
              </w:rPr>
              <w:t>2</w:t>
            </w:r>
          </w:p>
        </w:tc>
        <w:tc>
          <w:tcPr>
            <w:tcW w:w="1370" w:type="dxa"/>
            <w:vAlign w:val="center"/>
          </w:tcPr>
          <w:p w14:paraId="3AEC8010">
            <w:pPr>
              <w:jc w:val="center"/>
              <w:rPr>
                <w:rFonts w:eastAsia="仿宋_GB2312"/>
                <w:kern w:val="0"/>
                <w:sz w:val="18"/>
                <w:szCs w:val="18"/>
              </w:rPr>
            </w:pPr>
            <w:r>
              <w:rPr>
                <w:rFonts w:hint="eastAsia" w:eastAsia="仿宋_GB2312"/>
                <w:kern w:val="0"/>
                <w:sz w:val="18"/>
                <w:szCs w:val="18"/>
              </w:rPr>
              <w:t>邱道文、李绿周</w:t>
            </w:r>
          </w:p>
        </w:tc>
        <w:tc>
          <w:tcPr>
            <w:tcW w:w="773" w:type="dxa"/>
          </w:tcPr>
          <w:p w14:paraId="1DF9A8CD">
            <w:pPr>
              <w:spacing w:line="500" w:lineRule="exact"/>
              <w:jc w:val="center"/>
              <w:rPr>
                <w:rFonts w:hint="eastAsia" w:ascii="仿宋_GB2312" w:hAnsi="华文仿宋" w:eastAsia="仿宋_GB2312"/>
                <w:kern w:val="0"/>
                <w:sz w:val="18"/>
                <w:szCs w:val="18"/>
                <w:lang w:val="en-US" w:eastAsia="zh-CN"/>
              </w:rPr>
            </w:pPr>
            <w:r>
              <w:rPr>
                <w:rFonts w:hint="eastAsia" w:ascii="仿宋_GB2312" w:hAnsi="华文仿宋" w:eastAsia="仿宋_GB2312"/>
                <w:kern w:val="0"/>
                <w:sz w:val="18"/>
                <w:szCs w:val="18"/>
                <w:lang w:val="en-US" w:eastAsia="zh-CN"/>
              </w:rPr>
              <w:t>春</w:t>
            </w:r>
          </w:p>
        </w:tc>
      </w:tr>
      <w:tr w14:paraId="28FC0B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trPr>
        <w:tc>
          <w:tcPr>
            <w:tcW w:w="1103" w:type="dxa"/>
            <w:gridSpan w:val="2"/>
            <w:vMerge w:val="continue"/>
          </w:tcPr>
          <w:p w14:paraId="1FF79B6E">
            <w:pPr>
              <w:spacing w:line="500" w:lineRule="exact"/>
              <w:jc w:val="center"/>
              <w:rPr>
                <w:rFonts w:hint="eastAsia" w:ascii="仿宋_GB2312" w:hAnsi="华文仿宋" w:eastAsia="仿宋_GB2312"/>
                <w:kern w:val="0"/>
                <w:sz w:val="18"/>
                <w:szCs w:val="18"/>
              </w:rPr>
            </w:pPr>
          </w:p>
        </w:tc>
        <w:tc>
          <w:tcPr>
            <w:tcW w:w="1125" w:type="dxa"/>
            <w:vAlign w:val="center"/>
          </w:tcPr>
          <w:p w14:paraId="79128780">
            <w:pPr>
              <w:jc w:val="center"/>
              <w:rPr>
                <w:rFonts w:eastAsia="仿宋_GB2312"/>
                <w:kern w:val="0"/>
                <w:sz w:val="18"/>
                <w:szCs w:val="18"/>
              </w:rPr>
            </w:pPr>
            <w:r>
              <w:rPr>
                <w:rFonts w:hint="eastAsia" w:eastAsia="仿宋_GB2312"/>
                <w:kern w:val="0"/>
                <w:sz w:val="18"/>
                <w:szCs w:val="18"/>
              </w:rPr>
              <w:t>DCS5704</w:t>
            </w:r>
          </w:p>
        </w:tc>
        <w:tc>
          <w:tcPr>
            <w:tcW w:w="3650" w:type="dxa"/>
            <w:vAlign w:val="center"/>
          </w:tcPr>
          <w:p w14:paraId="78F4C47B">
            <w:pPr>
              <w:jc w:val="center"/>
              <w:rPr>
                <w:rFonts w:eastAsia="仿宋_GB2312"/>
                <w:kern w:val="0"/>
                <w:sz w:val="18"/>
                <w:szCs w:val="18"/>
              </w:rPr>
            </w:pPr>
            <w:r>
              <w:rPr>
                <w:rFonts w:hint="eastAsia" w:eastAsia="仿宋_GB2312"/>
                <w:kern w:val="0"/>
                <w:sz w:val="18"/>
                <w:szCs w:val="18"/>
              </w:rPr>
              <w:t>量子信息论与编码</w:t>
            </w:r>
          </w:p>
          <w:p w14:paraId="56E530B6">
            <w:pPr>
              <w:jc w:val="center"/>
              <w:rPr>
                <w:rFonts w:eastAsia="仿宋_GB2312"/>
                <w:kern w:val="0"/>
                <w:sz w:val="18"/>
                <w:szCs w:val="18"/>
              </w:rPr>
            </w:pPr>
            <w:r>
              <w:rPr>
                <w:rFonts w:hint="eastAsia" w:eastAsia="仿宋_GB2312"/>
                <w:kern w:val="0"/>
                <w:sz w:val="18"/>
                <w:szCs w:val="18"/>
              </w:rPr>
              <w:t>Quantum Information Theory and Coding</w:t>
            </w:r>
          </w:p>
        </w:tc>
        <w:tc>
          <w:tcPr>
            <w:tcW w:w="540" w:type="dxa"/>
            <w:vAlign w:val="center"/>
          </w:tcPr>
          <w:p w14:paraId="318A8FA8">
            <w:pPr>
              <w:jc w:val="center"/>
              <w:rPr>
                <w:rFonts w:eastAsia="仿宋_GB2312"/>
                <w:kern w:val="0"/>
                <w:sz w:val="18"/>
                <w:szCs w:val="18"/>
              </w:rPr>
            </w:pPr>
            <w:r>
              <w:rPr>
                <w:rFonts w:eastAsia="仿宋_GB2312"/>
                <w:kern w:val="0"/>
                <w:sz w:val="18"/>
                <w:szCs w:val="18"/>
              </w:rPr>
              <w:t>36</w:t>
            </w:r>
          </w:p>
        </w:tc>
        <w:tc>
          <w:tcPr>
            <w:tcW w:w="480" w:type="dxa"/>
            <w:vAlign w:val="center"/>
          </w:tcPr>
          <w:p w14:paraId="2BB5FC32">
            <w:pPr>
              <w:jc w:val="center"/>
              <w:rPr>
                <w:rFonts w:eastAsia="仿宋_GB2312"/>
                <w:kern w:val="0"/>
                <w:sz w:val="18"/>
                <w:szCs w:val="18"/>
              </w:rPr>
            </w:pPr>
            <w:r>
              <w:rPr>
                <w:rFonts w:eastAsia="仿宋_GB2312"/>
                <w:kern w:val="0"/>
                <w:sz w:val="18"/>
                <w:szCs w:val="18"/>
              </w:rPr>
              <w:t>2</w:t>
            </w:r>
          </w:p>
        </w:tc>
        <w:tc>
          <w:tcPr>
            <w:tcW w:w="1370" w:type="dxa"/>
            <w:vAlign w:val="center"/>
          </w:tcPr>
          <w:p w14:paraId="7F98CDAC">
            <w:pPr>
              <w:jc w:val="center"/>
              <w:rPr>
                <w:rFonts w:eastAsia="仿宋_GB2312"/>
                <w:kern w:val="0"/>
                <w:sz w:val="18"/>
                <w:szCs w:val="18"/>
              </w:rPr>
            </w:pPr>
            <w:r>
              <w:rPr>
                <w:rFonts w:hint="eastAsia" w:eastAsia="仿宋_GB2312"/>
                <w:kern w:val="0"/>
                <w:sz w:val="18"/>
                <w:szCs w:val="18"/>
              </w:rPr>
              <w:t>马啸、李绿周</w:t>
            </w:r>
          </w:p>
        </w:tc>
        <w:tc>
          <w:tcPr>
            <w:tcW w:w="773" w:type="dxa"/>
          </w:tcPr>
          <w:p w14:paraId="24173294">
            <w:pPr>
              <w:spacing w:line="500" w:lineRule="exact"/>
              <w:jc w:val="center"/>
              <w:rPr>
                <w:rFonts w:hint="eastAsia" w:ascii="仿宋_GB2312" w:hAnsi="华文仿宋" w:eastAsia="仿宋_GB2312"/>
                <w:kern w:val="0"/>
                <w:sz w:val="18"/>
                <w:szCs w:val="18"/>
                <w:lang w:val="en-US" w:eastAsia="zh-CN"/>
              </w:rPr>
            </w:pPr>
            <w:r>
              <w:rPr>
                <w:rFonts w:hint="eastAsia" w:ascii="仿宋_GB2312" w:hAnsi="华文仿宋" w:eastAsia="仿宋_GB2312"/>
                <w:kern w:val="0"/>
                <w:sz w:val="18"/>
                <w:szCs w:val="18"/>
                <w:lang w:val="en-US" w:eastAsia="zh-CN"/>
              </w:rPr>
              <w:t>秋</w:t>
            </w:r>
          </w:p>
        </w:tc>
      </w:tr>
      <w:tr w14:paraId="69F659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trPr>
        <w:tc>
          <w:tcPr>
            <w:tcW w:w="1103" w:type="dxa"/>
            <w:gridSpan w:val="2"/>
            <w:vMerge w:val="continue"/>
          </w:tcPr>
          <w:p w14:paraId="6681E404">
            <w:pPr>
              <w:spacing w:line="500" w:lineRule="exact"/>
              <w:jc w:val="center"/>
              <w:rPr>
                <w:rFonts w:hint="eastAsia" w:ascii="仿宋_GB2312" w:hAnsi="华文仿宋" w:eastAsia="仿宋_GB2312"/>
                <w:kern w:val="0"/>
                <w:sz w:val="18"/>
                <w:szCs w:val="18"/>
              </w:rPr>
            </w:pPr>
          </w:p>
        </w:tc>
        <w:tc>
          <w:tcPr>
            <w:tcW w:w="1125" w:type="dxa"/>
            <w:vAlign w:val="center"/>
          </w:tcPr>
          <w:p w14:paraId="20155F7F">
            <w:pPr>
              <w:jc w:val="center"/>
              <w:rPr>
                <w:rFonts w:eastAsia="仿宋_GB2312"/>
                <w:kern w:val="0"/>
                <w:sz w:val="18"/>
                <w:szCs w:val="18"/>
              </w:rPr>
            </w:pPr>
            <w:r>
              <w:rPr>
                <w:rFonts w:eastAsia="仿宋_GB2312"/>
                <w:kern w:val="0"/>
                <w:sz w:val="18"/>
                <w:szCs w:val="18"/>
              </w:rPr>
              <w:t>DCS5230</w:t>
            </w:r>
          </w:p>
        </w:tc>
        <w:tc>
          <w:tcPr>
            <w:tcW w:w="3650" w:type="dxa"/>
            <w:vAlign w:val="center"/>
          </w:tcPr>
          <w:p w14:paraId="6EFD5025">
            <w:pPr>
              <w:jc w:val="center"/>
              <w:rPr>
                <w:rFonts w:eastAsia="仿宋_GB2312"/>
                <w:kern w:val="0"/>
                <w:sz w:val="18"/>
                <w:szCs w:val="18"/>
              </w:rPr>
            </w:pPr>
            <w:r>
              <w:rPr>
                <w:rFonts w:hint="eastAsia" w:eastAsia="仿宋_GB2312"/>
                <w:kern w:val="0"/>
                <w:sz w:val="18"/>
                <w:szCs w:val="18"/>
              </w:rPr>
              <w:t>有限域基础</w:t>
            </w:r>
          </w:p>
          <w:p w14:paraId="06F88073">
            <w:pPr>
              <w:jc w:val="center"/>
              <w:rPr>
                <w:rFonts w:eastAsia="仿宋_GB2312"/>
                <w:kern w:val="0"/>
                <w:sz w:val="18"/>
                <w:szCs w:val="18"/>
              </w:rPr>
            </w:pPr>
            <w:r>
              <w:rPr>
                <w:rFonts w:eastAsia="仿宋_GB2312"/>
                <w:kern w:val="0"/>
                <w:sz w:val="18"/>
                <w:szCs w:val="18"/>
              </w:rPr>
              <w:t>Introduction to Finite Fields</w:t>
            </w:r>
          </w:p>
        </w:tc>
        <w:tc>
          <w:tcPr>
            <w:tcW w:w="540" w:type="dxa"/>
            <w:vAlign w:val="center"/>
          </w:tcPr>
          <w:p w14:paraId="06646990">
            <w:pPr>
              <w:jc w:val="center"/>
              <w:rPr>
                <w:rFonts w:eastAsia="仿宋_GB2312"/>
                <w:kern w:val="0"/>
                <w:sz w:val="18"/>
                <w:szCs w:val="18"/>
              </w:rPr>
            </w:pPr>
            <w:r>
              <w:rPr>
                <w:rFonts w:eastAsia="仿宋_GB2312"/>
                <w:kern w:val="0"/>
                <w:sz w:val="18"/>
                <w:szCs w:val="18"/>
              </w:rPr>
              <w:t>36</w:t>
            </w:r>
          </w:p>
        </w:tc>
        <w:tc>
          <w:tcPr>
            <w:tcW w:w="480" w:type="dxa"/>
            <w:vAlign w:val="center"/>
          </w:tcPr>
          <w:p w14:paraId="55326C1D">
            <w:pPr>
              <w:jc w:val="center"/>
              <w:rPr>
                <w:rFonts w:eastAsia="仿宋_GB2312"/>
                <w:kern w:val="0"/>
                <w:sz w:val="18"/>
                <w:szCs w:val="18"/>
              </w:rPr>
            </w:pPr>
            <w:r>
              <w:rPr>
                <w:rFonts w:eastAsia="仿宋_GB2312"/>
                <w:kern w:val="0"/>
                <w:sz w:val="18"/>
                <w:szCs w:val="18"/>
              </w:rPr>
              <w:t>2</w:t>
            </w:r>
          </w:p>
        </w:tc>
        <w:tc>
          <w:tcPr>
            <w:tcW w:w="1370" w:type="dxa"/>
            <w:vAlign w:val="center"/>
          </w:tcPr>
          <w:p w14:paraId="0A6A7439">
            <w:pPr>
              <w:jc w:val="center"/>
              <w:rPr>
                <w:rFonts w:eastAsia="仿宋_GB2312"/>
                <w:kern w:val="0"/>
                <w:sz w:val="18"/>
                <w:szCs w:val="18"/>
              </w:rPr>
            </w:pPr>
            <w:r>
              <w:rPr>
                <w:rFonts w:hint="eastAsia" w:eastAsia="仿宋_GB2312"/>
                <w:kern w:val="0"/>
                <w:sz w:val="18"/>
                <w:szCs w:val="18"/>
              </w:rPr>
              <w:t>韦宝典、杜育松</w:t>
            </w:r>
          </w:p>
        </w:tc>
        <w:tc>
          <w:tcPr>
            <w:tcW w:w="773" w:type="dxa"/>
          </w:tcPr>
          <w:p w14:paraId="30F96076">
            <w:pPr>
              <w:spacing w:line="500" w:lineRule="exact"/>
              <w:jc w:val="center"/>
              <w:rPr>
                <w:rFonts w:hint="eastAsia" w:ascii="仿宋_GB2312" w:hAnsi="华文仿宋" w:eastAsia="仿宋_GB2312"/>
                <w:kern w:val="0"/>
                <w:sz w:val="18"/>
                <w:szCs w:val="18"/>
                <w:lang w:val="en-US" w:eastAsia="zh-CN"/>
              </w:rPr>
            </w:pPr>
            <w:r>
              <w:rPr>
                <w:rFonts w:hint="eastAsia" w:ascii="仿宋_GB2312" w:hAnsi="华文仿宋" w:eastAsia="仿宋_GB2312"/>
                <w:kern w:val="0"/>
                <w:sz w:val="18"/>
                <w:szCs w:val="18"/>
                <w:lang w:val="en-US" w:eastAsia="zh-CN"/>
              </w:rPr>
              <w:t>春</w:t>
            </w:r>
          </w:p>
        </w:tc>
      </w:tr>
      <w:tr w14:paraId="1AF6B1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trPr>
        <w:tc>
          <w:tcPr>
            <w:tcW w:w="1103" w:type="dxa"/>
            <w:gridSpan w:val="2"/>
            <w:vMerge w:val="continue"/>
          </w:tcPr>
          <w:p w14:paraId="74A2A9DA">
            <w:pPr>
              <w:spacing w:line="500" w:lineRule="exact"/>
              <w:jc w:val="center"/>
              <w:rPr>
                <w:rFonts w:hint="eastAsia" w:ascii="仿宋_GB2312" w:hAnsi="华文仿宋" w:eastAsia="仿宋_GB2312"/>
                <w:kern w:val="0"/>
                <w:sz w:val="18"/>
                <w:szCs w:val="18"/>
              </w:rPr>
            </w:pPr>
          </w:p>
        </w:tc>
        <w:tc>
          <w:tcPr>
            <w:tcW w:w="1125" w:type="dxa"/>
            <w:vAlign w:val="center"/>
          </w:tcPr>
          <w:p w14:paraId="1F5B0696">
            <w:pPr>
              <w:jc w:val="center"/>
              <w:rPr>
                <w:rFonts w:eastAsia="仿宋_GB2312"/>
                <w:kern w:val="0"/>
                <w:sz w:val="18"/>
                <w:szCs w:val="18"/>
              </w:rPr>
            </w:pPr>
            <w:r>
              <w:rPr>
                <w:rFonts w:eastAsia="仿宋_GB2312"/>
                <w:kern w:val="0"/>
                <w:sz w:val="18"/>
                <w:szCs w:val="18"/>
              </w:rPr>
              <w:t>DCS5206</w:t>
            </w:r>
          </w:p>
        </w:tc>
        <w:tc>
          <w:tcPr>
            <w:tcW w:w="3650" w:type="dxa"/>
            <w:vAlign w:val="center"/>
          </w:tcPr>
          <w:p w14:paraId="02185BAC">
            <w:pPr>
              <w:jc w:val="center"/>
              <w:rPr>
                <w:rFonts w:eastAsia="仿宋_GB2312"/>
                <w:kern w:val="0"/>
                <w:sz w:val="18"/>
                <w:szCs w:val="18"/>
              </w:rPr>
            </w:pPr>
            <w:r>
              <w:rPr>
                <w:rFonts w:hint="eastAsia" w:eastAsia="仿宋_GB2312"/>
                <w:kern w:val="0"/>
                <w:sz w:val="18"/>
                <w:szCs w:val="18"/>
              </w:rPr>
              <w:t>数字图像处理</w:t>
            </w:r>
          </w:p>
          <w:p w14:paraId="7B818B48">
            <w:pPr>
              <w:jc w:val="center"/>
              <w:rPr>
                <w:rFonts w:eastAsia="仿宋_GB2312"/>
                <w:kern w:val="0"/>
                <w:sz w:val="18"/>
                <w:szCs w:val="18"/>
              </w:rPr>
            </w:pPr>
            <w:r>
              <w:rPr>
                <w:rFonts w:eastAsia="仿宋_GB2312"/>
                <w:kern w:val="0"/>
                <w:sz w:val="18"/>
                <w:szCs w:val="18"/>
              </w:rPr>
              <w:t>Digital Image Processing</w:t>
            </w:r>
          </w:p>
        </w:tc>
        <w:tc>
          <w:tcPr>
            <w:tcW w:w="540" w:type="dxa"/>
            <w:vAlign w:val="center"/>
          </w:tcPr>
          <w:p w14:paraId="33C93309">
            <w:pPr>
              <w:jc w:val="center"/>
              <w:rPr>
                <w:rFonts w:eastAsia="仿宋_GB2312"/>
                <w:kern w:val="0"/>
                <w:sz w:val="18"/>
                <w:szCs w:val="18"/>
              </w:rPr>
            </w:pPr>
            <w:r>
              <w:rPr>
                <w:rFonts w:eastAsia="仿宋_GB2312"/>
                <w:kern w:val="0"/>
                <w:sz w:val="18"/>
                <w:szCs w:val="18"/>
              </w:rPr>
              <w:t>54</w:t>
            </w:r>
          </w:p>
        </w:tc>
        <w:tc>
          <w:tcPr>
            <w:tcW w:w="480" w:type="dxa"/>
            <w:vAlign w:val="center"/>
          </w:tcPr>
          <w:p w14:paraId="48B79DA3">
            <w:pPr>
              <w:jc w:val="center"/>
              <w:rPr>
                <w:rFonts w:eastAsia="仿宋_GB2312"/>
                <w:kern w:val="0"/>
                <w:sz w:val="18"/>
                <w:szCs w:val="18"/>
              </w:rPr>
            </w:pPr>
            <w:r>
              <w:rPr>
                <w:rFonts w:eastAsia="仿宋_GB2312"/>
                <w:kern w:val="0"/>
                <w:sz w:val="18"/>
                <w:szCs w:val="18"/>
              </w:rPr>
              <w:t>3</w:t>
            </w:r>
          </w:p>
        </w:tc>
        <w:tc>
          <w:tcPr>
            <w:tcW w:w="1370" w:type="dxa"/>
            <w:vAlign w:val="center"/>
          </w:tcPr>
          <w:p w14:paraId="472746FD">
            <w:pPr>
              <w:jc w:val="center"/>
              <w:rPr>
                <w:rFonts w:eastAsia="仿宋_GB2312"/>
                <w:kern w:val="0"/>
                <w:sz w:val="18"/>
                <w:szCs w:val="18"/>
              </w:rPr>
            </w:pPr>
            <w:bookmarkStart w:id="5" w:name="_GoBack"/>
            <w:r>
              <w:rPr>
                <w:rFonts w:hint="eastAsia" w:eastAsia="仿宋_GB2312"/>
                <w:kern w:val="0"/>
                <w:sz w:val="18"/>
                <w:szCs w:val="18"/>
              </w:rPr>
              <w:t>谢晓华、赖剑煌、郑慧诚、刘宁、曾坤、潘炎、张青</w:t>
            </w:r>
            <w:bookmarkEnd w:id="5"/>
          </w:p>
        </w:tc>
        <w:tc>
          <w:tcPr>
            <w:tcW w:w="773" w:type="dxa"/>
          </w:tcPr>
          <w:p w14:paraId="48DB2A68">
            <w:pPr>
              <w:spacing w:line="500" w:lineRule="exact"/>
              <w:jc w:val="center"/>
              <w:rPr>
                <w:rFonts w:hint="eastAsia" w:ascii="仿宋_GB2312" w:hAnsi="华文仿宋" w:eastAsia="仿宋_GB2312"/>
                <w:kern w:val="0"/>
                <w:sz w:val="18"/>
                <w:szCs w:val="18"/>
                <w:lang w:val="en-US" w:eastAsia="zh-CN"/>
              </w:rPr>
            </w:pPr>
            <w:r>
              <w:rPr>
                <w:rFonts w:hint="eastAsia" w:ascii="仿宋_GB2312" w:hAnsi="华文仿宋" w:eastAsia="仿宋_GB2312"/>
                <w:kern w:val="0"/>
                <w:sz w:val="18"/>
                <w:szCs w:val="18"/>
                <w:lang w:val="en-US" w:eastAsia="zh-CN"/>
              </w:rPr>
              <w:t>秋</w:t>
            </w:r>
          </w:p>
        </w:tc>
      </w:tr>
      <w:tr w14:paraId="236CA3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trPr>
        <w:tc>
          <w:tcPr>
            <w:tcW w:w="1103" w:type="dxa"/>
            <w:gridSpan w:val="2"/>
            <w:vMerge w:val="continue"/>
          </w:tcPr>
          <w:p w14:paraId="3F5C807B">
            <w:pPr>
              <w:spacing w:line="500" w:lineRule="exact"/>
              <w:jc w:val="center"/>
              <w:rPr>
                <w:rFonts w:hint="eastAsia" w:ascii="仿宋_GB2312" w:hAnsi="华文仿宋" w:eastAsia="仿宋_GB2312"/>
                <w:kern w:val="0"/>
                <w:sz w:val="18"/>
                <w:szCs w:val="18"/>
              </w:rPr>
            </w:pPr>
          </w:p>
        </w:tc>
        <w:tc>
          <w:tcPr>
            <w:tcW w:w="1125" w:type="dxa"/>
            <w:vAlign w:val="center"/>
          </w:tcPr>
          <w:p w14:paraId="5AB9BA49">
            <w:pPr>
              <w:jc w:val="center"/>
              <w:rPr>
                <w:rFonts w:eastAsia="仿宋_GB2312"/>
                <w:kern w:val="0"/>
                <w:sz w:val="18"/>
                <w:szCs w:val="18"/>
              </w:rPr>
            </w:pPr>
            <w:r>
              <w:rPr>
                <w:rFonts w:eastAsia="仿宋_GB2312"/>
                <w:kern w:val="0"/>
                <w:sz w:val="18"/>
                <w:szCs w:val="18"/>
              </w:rPr>
              <w:t>DCS5232</w:t>
            </w:r>
          </w:p>
        </w:tc>
        <w:tc>
          <w:tcPr>
            <w:tcW w:w="3650" w:type="dxa"/>
            <w:vAlign w:val="center"/>
          </w:tcPr>
          <w:p w14:paraId="222C66ED">
            <w:pPr>
              <w:jc w:val="center"/>
              <w:rPr>
                <w:rFonts w:eastAsia="仿宋_GB2312"/>
                <w:kern w:val="0"/>
                <w:sz w:val="18"/>
                <w:szCs w:val="18"/>
              </w:rPr>
            </w:pPr>
            <w:r>
              <w:rPr>
                <w:rFonts w:hint="eastAsia" w:eastAsia="仿宋_GB2312"/>
                <w:kern w:val="0"/>
                <w:sz w:val="18"/>
                <w:szCs w:val="18"/>
              </w:rPr>
              <w:t>深度学习前沿</w:t>
            </w:r>
          </w:p>
          <w:p w14:paraId="1C7554DC">
            <w:pPr>
              <w:jc w:val="center"/>
              <w:rPr>
                <w:rFonts w:eastAsia="仿宋_GB2312"/>
                <w:kern w:val="0"/>
                <w:sz w:val="18"/>
                <w:szCs w:val="18"/>
              </w:rPr>
            </w:pPr>
            <w:r>
              <w:rPr>
                <w:rFonts w:eastAsia="仿宋_GB2312"/>
                <w:kern w:val="0"/>
                <w:sz w:val="18"/>
                <w:szCs w:val="18"/>
              </w:rPr>
              <w:t>Frontiers of Deep Learning</w:t>
            </w:r>
          </w:p>
        </w:tc>
        <w:tc>
          <w:tcPr>
            <w:tcW w:w="540" w:type="dxa"/>
            <w:vAlign w:val="center"/>
          </w:tcPr>
          <w:p w14:paraId="5C454FB1">
            <w:pPr>
              <w:jc w:val="center"/>
              <w:rPr>
                <w:rFonts w:eastAsia="仿宋_GB2312"/>
                <w:kern w:val="0"/>
                <w:sz w:val="18"/>
                <w:szCs w:val="18"/>
              </w:rPr>
            </w:pPr>
            <w:r>
              <w:rPr>
                <w:rFonts w:eastAsia="仿宋_GB2312"/>
                <w:kern w:val="0"/>
                <w:sz w:val="18"/>
                <w:szCs w:val="18"/>
              </w:rPr>
              <w:t>36</w:t>
            </w:r>
          </w:p>
        </w:tc>
        <w:tc>
          <w:tcPr>
            <w:tcW w:w="480" w:type="dxa"/>
            <w:vAlign w:val="center"/>
          </w:tcPr>
          <w:p w14:paraId="6A0F15FC">
            <w:pPr>
              <w:jc w:val="center"/>
              <w:rPr>
                <w:rFonts w:eastAsia="仿宋_GB2312"/>
                <w:kern w:val="0"/>
                <w:sz w:val="18"/>
                <w:szCs w:val="18"/>
              </w:rPr>
            </w:pPr>
            <w:r>
              <w:rPr>
                <w:rFonts w:eastAsia="仿宋_GB2312"/>
                <w:kern w:val="0"/>
                <w:sz w:val="18"/>
                <w:szCs w:val="18"/>
              </w:rPr>
              <w:t>2</w:t>
            </w:r>
          </w:p>
        </w:tc>
        <w:tc>
          <w:tcPr>
            <w:tcW w:w="1370" w:type="dxa"/>
            <w:vAlign w:val="center"/>
          </w:tcPr>
          <w:p w14:paraId="5FCB58D5">
            <w:pPr>
              <w:jc w:val="center"/>
              <w:rPr>
                <w:rFonts w:eastAsia="仿宋_GB2312"/>
                <w:kern w:val="0"/>
                <w:sz w:val="18"/>
                <w:szCs w:val="18"/>
              </w:rPr>
            </w:pPr>
            <w:r>
              <w:rPr>
                <w:rFonts w:hint="eastAsia" w:eastAsia="仿宋_GB2312"/>
                <w:color w:val="000000" w:themeColor="text1"/>
                <w:kern w:val="0"/>
                <w:sz w:val="18"/>
                <w:szCs w:val="18"/>
                <w:highlight w:val="none"/>
                <w:lang w:val="en-US" w:eastAsia="zh-CN"/>
                <w14:textFill>
                  <w14:solidFill>
                    <w14:schemeClr w14:val="tx1"/>
                  </w14:solidFill>
                </w14:textFill>
              </w:rPr>
              <w:t>张冬雨、潘炎、李冠彬、王可泽</w:t>
            </w:r>
          </w:p>
        </w:tc>
        <w:tc>
          <w:tcPr>
            <w:tcW w:w="773" w:type="dxa"/>
            <w:vAlign w:val="center"/>
          </w:tcPr>
          <w:p w14:paraId="171BDFFD">
            <w:pPr>
              <w:spacing w:line="500" w:lineRule="exact"/>
              <w:jc w:val="center"/>
              <w:rPr>
                <w:rFonts w:hint="eastAsia" w:ascii="仿宋_GB2312" w:hAnsi="华文仿宋" w:eastAsia="仿宋_GB2312"/>
                <w:kern w:val="0"/>
                <w:sz w:val="18"/>
                <w:szCs w:val="18"/>
                <w:lang w:val="en-US" w:eastAsia="zh-CN"/>
              </w:rPr>
            </w:pPr>
            <w:r>
              <w:rPr>
                <w:rFonts w:hint="eastAsia" w:ascii="仿宋_GB2312" w:hAnsi="华文仿宋" w:eastAsia="仿宋_GB2312"/>
                <w:kern w:val="0"/>
                <w:sz w:val="18"/>
                <w:szCs w:val="18"/>
                <w:lang w:val="en-US" w:eastAsia="zh-CN"/>
              </w:rPr>
              <w:t>春</w:t>
            </w:r>
          </w:p>
        </w:tc>
      </w:tr>
      <w:tr w14:paraId="169BD8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trPr>
        <w:tc>
          <w:tcPr>
            <w:tcW w:w="1103" w:type="dxa"/>
            <w:gridSpan w:val="2"/>
            <w:vMerge w:val="continue"/>
          </w:tcPr>
          <w:p w14:paraId="24FB70D3">
            <w:pPr>
              <w:spacing w:line="500" w:lineRule="exact"/>
              <w:jc w:val="center"/>
              <w:rPr>
                <w:rFonts w:hint="eastAsia" w:ascii="仿宋_GB2312" w:hAnsi="华文仿宋" w:eastAsia="仿宋_GB2312"/>
                <w:kern w:val="0"/>
                <w:sz w:val="18"/>
                <w:szCs w:val="18"/>
              </w:rPr>
            </w:pPr>
          </w:p>
        </w:tc>
        <w:tc>
          <w:tcPr>
            <w:tcW w:w="1125" w:type="dxa"/>
            <w:vAlign w:val="center"/>
          </w:tcPr>
          <w:p w14:paraId="5D24268B">
            <w:pPr>
              <w:jc w:val="center"/>
              <w:rPr>
                <w:rFonts w:eastAsia="仿宋_GB2312"/>
                <w:kern w:val="0"/>
                <w:sz w:val="18"/>
                <w:szCs w:val="18"/>
              </w:rPr>
            </w:pPr>
            <w:r>
              <w:rPr>
                <w:rFonts w:hint="eastAsia" w:eastAsia="仿宋_GB2312"/>
                <w:kern w:val="0"/>
                <w:sz w:val="18"/>
                <w:szCs w:val="18"/>
              </w:rPr>
              <w:t>DCS7202</w:t>
            </w:r>
          </w:p>
        </w:tc>
        <w:tc>
          <w:tcPr>
            <w:tcW w:w="3650" w:type="dxa"/>
            <w:vAlign w:val="center"/>
          </w:tcPr>
          <w:p w14:paraId="13318C93">
            <w:pPr>
              <w:jc w:val="center"/>
              <w:rPr>
                <w:rFonts w:eastAsia="仿宋_GB2312"/>
                <w:kern w:val="0"/>
                <w:sz w:val="18"/>
                <w:szCs w:val="18"/>
              </w:rPr>
            </w:pPr>
            <w:r>
              <w:rPr>
                <w:rFonts w:eastAsia="仿宋_GB2312"/>
                <w:kern w:val="0"/>
                <w:sz w:val="18"/>
                <w:szCs w:val="18"/>
              </w:rPr>
              <w:t>模式识别</w:t>
            </w:r>
          </w:p>
          <w:p w14:paraId="4EE77ECF">
            <w:pPr>
              <w:jc w:val="center"/>
              <w:rPr>
                <w:rFonts w:eastAsia="仿宋_GB2312"/>
                <w:kern w:val="0"/>
                <w:sz w:val="18"/>
                <w:szCs w:val="18"/>
              </w:rPr>
            </w:pPr>
            <w:r>
              <w:rPr>
                <w:rFonts w:eastAsia="仿宋_GB2312"/>
                <w:kern w:val="0"/>
                <w:sz w:val="18"/>
                <w:szCs w:val="18"/>
              </w:rPr>
              <w:t>Pattern Recognition</w:t>
            </w:r>
          </w:p>
        </w:tc>
        <w:tc>
          <w:tcPr>
            <w:tcW w:w="540" w:type="dxa"/>
            <w:vAlign w:val="center"/>
          </w:tcPr>
          <w:p w14:paraId="21F89CA6">
            <w:pPr>
              <w:jc w:val="center"/>
              <w:rPr>
                <w:rFonts w:eastAsia="仿宋_GB2312"/>
                <w:kern w:val="0"/>
                <w:sz w:val="18"/>
                <w:szCs w:val="18"/>
              </w:rPr>
            </w:pPr>
            <w:r>
              <w:rPr>
                <w:rFonts w:hint="eastAsia" w:eastAsia="仿宋_GB2312"/>
                <w:kern w:val="0"/>
                <w:sz w:val="18"/>
                <w:szCs w:val="18"/>
              </w:rPr>
              <w:t>54</w:t>
            </w:r>
          </w:p>
        </w:tc>
        <w:tc>
          <w:tcPr>
            <w:tcW w:w="480" w:type="dxa"/>
            <w:vAlign w:val="center"/>
          </w:tcPr>
          <w:p w14:paraId="599E50CA">
            <w:pPr>
              <w:jc w:val="center"/>
              <w:rPr>
                <w:rFonts w:eastAsia="仿宋_GB2312"/>
                <w:kern w:val="0"/>
                <w:sz w:val="18"/>
                <w:szCs w:val="18"/>
              </w:rPr>
            </w:pPr>
            <w:r>
              <w:rPr>
                <w:rFonts w:hint="eastAsia" w:eastAsia="仿宋_GB2312"/>
                <w:kern w:val="0"/>
                <w:sz w:val="18"/>
                <w:szCs w:val="18"/>
              </w:rPr>
              <w:t>3</w:t>
            </w:r>
          </w:p>
        </w:tc>
        <w:tc>
          <w:tcPr>
            <w:tcW w:w="1370" w:type="dxa"/>
            <w:vAlign w:val="center"/>
          </w:tcPr>
          <w:p w14:paraId="298E2FF9">
            <w:pPr>
              <w:jc w:val="center"/>
              <w:rPr>
                <w:rFonts w:hint="default" w:eastAsia="仿宋_GB2312"/>
                <w:kern w:val="0"/>
                <w:sz w:val="18"/>
                <w:szCs w:val="18"/>
                <w:lang w:val="en-US" w:eastAsia="zh-CN"/>
              </w:rPr>
            </w:pPr>
            <w:r>
              <w:rPr>
                <w:rFonts w:hint="eastAsia" w:eastAsia="仿宋_GB2312"/>
                <w:color w:val="000000" w:themeColor="text1"/>
                <w:kern w:val="0"/>
                <w:sz w:val="18"/>
                <w:szCs w:val="18"/>
                <w:highlight w:val="none"/>
                <w14:textFill>
                  <w14:solidFill>
                    <w14:schemeClr w14:val="tx1"/>
                  </w14:solidFill>
                </w14:textFill>
              </w:rPr>
              <w:t>郑伟诗、王瑞轩、杨猛、马锦华、王昌栋、胡建芳</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郑慧诚</w:t>
            </w:r>
          </w:p>
        </w:tc>
        <w:tc>
          <w:tcPr>
            <w:tcW w:w="773" w:type="dxa"/>
            <w:vAlign w:val="center"/>
          </w:tcPr>
          <w:p w14:paraId="4ED32E16">
            <w:pPr>
              <w:spacing w:line="500" w:lineRule="exact"/>
              <w:jc w:val="center"/>
              <w:rPr>
                <w:rFonts w:hint="eastAsia" w:ascii="仿宋_GB2312" w:hAnsi="华文仿宋" w:eastAsia="仿宋_GB2312"/>
                <w:kern w:val="0"/>
                <w:sz w:val="18"/>
                <w:szCs w:val="18"/>
                <w:lang w:val="en-US" w:eastAsia="zh-CN"/>
              </w:rPr>
            </w:pPr>
            <w:r>
              <w:rPr>
                <w:rFonts w:hint="eastAsia" w:ascii="仿宋_GB2312" w:hAnsi="华文仿宋" w:eastAsia="仿宋_GB2312"/>
                <w:kern w:val="0"/>
                <w:sz w:val="18"/>
                <w:szCs w:val="18"/>
                <w:lang w:val="en-US" w:eastAsia="zh-CN"/>
              </w:rPr>
              <w:t>秋</w:t>
            </w:r>
          </w:p>
        </w:tc>
      </w:tr>
      <w:tr w14:paraId="2CA592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trPr>
        <w:tc>
          <w:tcPr>
            <w:tcW w:w="1103" w:type="dxa"/>
            <w:gridSpan w:val="2"/>
            <w:vMerge w:val="continue"/>
          </w:tcPr>
          <w:p w14:paraId="52959937">
            <w:pPr>
              <w:spacing w:line="500" w:lineRule="exact"/>
              <w:jc w:val="center"/>
              <w:rPr>
                <w:rFonts w:hint="eastAsia" w:ascii="仿宋_GB2312" w:hAnsi="华文仿宋" w:eastAsia="仿宋_GB2312"/>
                <w:kern w:val="0"/>
                <w:sz w:val="18"/>
                <w:szCs w:val="18"/>
              </w:rPr>
            </w:pPr>
          </w:p>
        </w:tc>
        <w:tc>
          <w:tcPr>
            <w:tcW w:w="1125" w:type="dxa"/>
            <w:vAlign w:val="center"/>
          </w:tcPr>
          <w:p w14:paraId="5023BE80">
            <w:pPr>
              <w:jc w:val="center"/>
              <w:rPr>
                <w:rFonts w:eastAsia="仿宋_GB2312"/>
                <w:kern w:val="0"/>
                <w:sz w:val="18"/>
                <w:szCs w:val="18"/>
              </w:rPr>
            </w:pPr>
            <w:r>
              <w:rPr>
                <w:rFonts w:eastAsia="仿宋_GB2312"/>
                <w:kern w:val="0"/>
                <w:sz w:val="18"/>
                <w:szCs w:val="18"/>
              </w:rPr>
              <w:t>DCS5234</w:t>
            </w:r>
          </w:p>
        </w:tc>
        <w:tc>
          <w:tcPr>
            <w:tcW w:w="3650" w:type="dxa"/>
            <w:vAlign w:val="center"/>
          </w:tcPr>
          <w:p w14:paraId="06502772">
            <w:pPr>
              <w:jc w:val="center"/>
              <w:rPr>
                <w:rFonts w:eastAsia="仿宋_GB2312"/>
                <w:kern w:val="0"/>
                <w:sz w:val="18"/>
                <w:szCs w:val="18"/>
              </w:rPr>
            </w:pPr>
            <w:r>
              <w:rPr>
                <w:rFonts w:hint="eastAsia" w:eastAsia="仿宋_GB2312"/>
                <w:kern w:val="0"/>
                <w:sz w:val="18"/>
                <w:szCs w:val="18"/>
              </w:rPr>
              <w:t>自然语言处理</w:t>
            </w:r>
          </w:p>
          <w:p w14:paraId="4C05E5F4">
            <w:pPr>
              <w:jc w:val="center"/>
              <w:rPr>
                <w:rFonts w:eastAsia="仿宋_GB2312"/>
                <w:kern w:val="0"/>
                <w:sz w:val="18"/>
                <w:szCs w:val="18"/>
              </w:rPr>
            </w:pPr>
            <w:r>
              <w:rPr>
                <w:rFonts w:eastAsia="仿宋_GB2312"/>
                <w:kern w:val="0"/>
                <w:sz w:val="18"/>
                <w:szCs w:val="18"/>
              </w:rPr>
              <w:t>Natural Language Processing</w:t>
            </w:r>
          </w:p>
        </w:tc>
        <w:tc>
          <w:tcPr>
            <w:tcW w:w="540" w:type="dxa"/>
            <w:vAlign w:val="center"/>
          </w:tcPr>
          <w:p w14:paraId="19539B8F">
            <w:pPr>
              <w:jc w:val="center"/>
              <w:rPr>
                <w:rFonts w:eastAsia="仿宋_GB2312"/>
                <w:kern w:val="0"/>
                <w:sz w:val="18"/>
                <w:szCs w:val="18"/>
              </w:rPr>
            </w:pPr>
            <w:r>
              <w:rPr>
                <w:rFonts w:eastAsia="仿宋_GB2312"/>
                <w:kern w:val="0"/>
                <w:sz w:val="18"/>
                <w:szCs w:val="18"/>
              </w:rPr>
              <w:t>36</w:t>
            </w:r>
          </w:p>
        </w:tc>
        <w:tc>
          <w:tcPr>
            <w:tcW w:w="480" w:type="dxa"/>
            <w:vAlign w:val="center"/>
          </w:tcPr>
          <w:p w14:paraId="37836F3A">
            <w:pPr>
              <w:jc w:val="center"/>
              <w:rPr>
                <w:rFonts w:eastAsia="仿宋_GB2312"/>
                <w:kern w:val="0"/>
                <w:sz w:val="18"/>
                <w:szCs w:val="18"/>
              </w:rPr>
            </w:pPr>
            <w:r>
              <w:rPr>
                <w:rFonts w:eastAsia="仿宋_GB2312"/>
                <w:kern w:val="0"/>
                <w:sz w:val="18"/>
                <w:szCs w:val="18"/>
              </w:rPr>
              <w:t>2</w:t>
            </w:r>
          </w:p>
        </w:tc>
        <w:tc>
          <w:tcPr>
            <w:tcW w:w="1370" w:type="dxa"/>
            <w:vAlign w:val="center"/>
          </w:tcPr>
          <w:p w14:paraId="484ED957">
            <w:pPr>
              <w:jc w:val="center"/>
              <w:rPr>
                <w:rFonts w:eastAsia="仿宋_GB2312"/>
                <w:kern w:val="0"/>
                <w:sz w:val="18"/>
                <w:szCs w:val="18"/>
              </w:rPr>
            </w:pPr>
            <w:r>
              <w:rPr>
                <w:rFonts w:hint="eastAsia" w:eastAsia="仿宋_GB2312"/>
                <w:kern w:val="0"/>
                <w:sz w:val="18"/>
                <w:szCs w:val="18"/>
              </w:rPr>
              <w:t>权小军、杨猛、潘嵘</w:t>
            </w:r>
          </w:p>
        </w:tc>
        <w:tc>
          <w:tcPr>
            <w:tcW w:w="773" w:type="dxa"/>
            <w:vAlign w:val="center"/>
          </w:tcPr>
          <w:p w14:paraId="13F4AD35">
            <w:pPr>
              <w:spacing w:line="500" w:lineRule="exact"/>
              <w:jc w:val="center"/>
              <w:rPr>
                <w:rFonts w:hint="eastAsia" w:ascii="仿宋_GB2312" w:hAnsi="华文仿宋" w:eastAsia="仿宋_GB2312"/>
                <w:kern w:val="0"/>
                <w:sz w:val="18"/>
                <w:szCs w:val="18"/>
                <w:lang w:val="en-US" w:eastAsia="zh-CN"/>
              </w:rPr>
            </w:pPr>
            <w:r>
              <w:rPr>
                <w:rFonts w:hint="eastAsia" w:ascii="仿宋_GB2312" w:hAnsi="华文仿宋" w:eastAsia="仿宋_GB2312"/>
                <w:kern w:val="0"/>
                <w:sz w:val="18"/>
                <w:szCs w:val="18"/>
                <w:lang w:val="en-US" w:eastAsia="zh-CN"/>
              </w:rPr>
              <w:t>秋</w:t>
            </w:r>
          </w:p>
        </w:tc>
      </w:tr>
      <w:tr w14:paraId="23DA89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trPr>
        <w:tc>
          <w:tcPr>
            <w:tcW w:w="1103" w:type="dxa"/>
            <w:gridSpan w:val="2"/>
            <w:vMerge w:val="continue"/>
          </w:tcPr>
          <w:p w14:paraId="594CE769">
            <w:pPr>
              <w:spacing w:line="500" w:lineRule="exact"/>
              <w:jc w:val="center"/>
              <w:rPr>
                <w:rFonts w:hint="eastAsia" w:ascii="仿宋_GB2312" w:hAnsi="华文仿宋" w:eastAsia="仿宋_GB2312"/>
                <w:kern w:val="0"/>
                <w:sz w:val="18"/>
                <w:szCs w:val="18"/>
              </w:rPr>
            </w:pPr>
          </w:p>
        </w:tc>
        <w:tc>
          <w:tcPr>
            <w:tcW w:w="1125" w:type="dxa"/>
            <w:vAlign w:val="center"/>
          </w:tcPr>
          <w:p w14:paraId="7656906A">
            <w:pPr>
              <w:jc w:val="center"/>
              <w:rPr>
                <w:rFonts w:eastAsia="仿宋_GB2312"/>
                <w:kern w:val="0"/>
                <w:sz w:val="18"/>
                <w:szCs w:val="18"/>
              </w:rPr>
            </w:pPr>
            <w:r>
              <w:rPr>
                <w:rFonts w:eastAsia="仿宋_GB2312"/>
                <w:kern w:val="0"/>
                <w:sz w:val="18"/>
                <w:szCs w:val="18"/>
              </w:rPr>
              <w:t>DCS5257</w:t>
            </w:r>
          </w:p>
        </w:tc>
        <w:tc>
          <w:tcPr>
            <w:tcW w:w="3650" w:type="dxa"/>
            <w:vAlign w:val="center"/>
          </w:tcPr>
          <w:p w14:paraId="71EF3A93">
            <w:pPr>
              <w:jc w:val="center"/>
              <w:rPr>
                <w:rFonts w:eastAsia="仿宋_GB2312"/>
                <w:kern w:val="0"/>
                <w:sz w:val="18"/>
                <w:szCs w:val="18"/>
              </w:rPr>
            </w:pPr>
            <w:r>
              <w:rPr>
                <w:rFonts w:hint="eastAsia" w:eastAsia="仿宋_GB2312"/>
                <w:kern w:val="0"/>
                <w:sz w:val="18"/>
                <w:szCs w:val="18"/>
              </w:rPr>
              <w:t>强化学习原理及应用</w:t>
            </w:r>
          </w:p>
          <w:p w14:paraId="01A71437">
            <w:pPr>
              <w:jc w:val="center"/>
              <w:rPr>
                <w:rFonts w:eastAsia="仿宋_GB2312"/>
                <w:kern w:val="0"/>
                <w:sz w:val="18"/>
                <w:szCs w:val="18"/>
              </w:rPr>
            </w:pPr>
            <w:r>
              <w:rPr>
                <w:rFonts w:eastAsia="仿宋_GB2312"/>
                <w:kern w:val="0"/>
                <w:sz w:val="18"/>
                <w:szCs w:val="18"/>
              </w:rPr>
              <w:t>Principles and Applications of Reinforcement Learning</w:t>
            </w:r>
          </w:p>
        </w:tc>
        <w:tc>
          <w:tcPr>
            <w:tcW w:w="540" w:type="dxa"/>
            <w:vAlign w:val="center"/>
          </w:tcPr>
          <w:p w14:paraId="01BF2A5F">
            <w:pPr>
              <w:jc w:val="center"/>
              <w:rPr>
                <w:rFonts w:eastAsia="仿宋_GB2312"/>
                <w:kern w:val="0"/>
                <w:sz w:val="18"/>
                <w:szCs w:val="18"/>
              </w:rPr>
            </w:pPr>
            <w:r>
              <w:rPr>
                <w:rFonts w:eastAsia="仿宋_GB2312"/>
                <w:kern w:val="0"/>
                <w:sz w:val="18"/>
                <w:szCs w:val="18"/>
              </w:rPr>
              <w:t>36</w:t>
            </w:r>
          </w:p>
        </w:tc>
        <w:tc>
          <w:tcPr>
            <w:tcW w:w="480" w:type="dxa"/>
            <w:vAlign w:val="center"/>
          </w:tcPr>
          <w:p w14:paraId="1DC92E52">
            <w:pPr>
              <w:jc w:val="center"/>
              <w:rPr>
                <w:rFonts w:eastAsia="仿宋_GB2312"/>
                <w:kern w:val="0"/>
                <w:sz w:val="18"/>
                <w:szCs w:val="18"/>
              </w:rPr>
            </w:pPr>
            <w:r>
              <w:rPr>
                <w:rFonts w:eastAsia="仿宋_GB2312"/>
                <w:kern w:val="0"/>
                <w:sz w:val="18"/>
                <w:szCs w:val="18"/>
              </w:rPr>
              <w:t>2</w:t>
            </w:r>
          </w:p>
        </w:tc>
        <w:tc>
          <w:tcPr>
            <w:tcW w:w="1370" w:type="dxa"/>
            <w:vAlign w:val="center"/>
          </w:tcPr>
          <w:p w14:paraId="4A02BA6B">
            <w:pPr>
              <w:jc w:val="center"/>
              <w:rPr>
                <w:rFonts w:eastAsia="仿宋_GB2312"/>
                <w:kern w:val="0"/>
                <w:sz w:val="18"/>
                <w:szCs w:val="18"/>
              </w:rPr>
            </w:pPr>
            <w:r>
              <w:rPr>
                <w:rFonts w:hint="eastAsia" w:eastAsia="仿宋_GB2312"/>
                <w:kern w:val="0"/>
                <w:sz w:val="18"/>
                <w:szCs w:val="18"/>
              </w:rPr>
              <w:t>余超</w:t>
            </w:r>
          </w:p>
        </w:tc>
        <w:tc>
          <w:tcPr>
            <w:tcW w:w="773" w:type="dxa"/>
            <w:vAlign w:val="center"/>
          </w:tcPr>
          <w:p w14:paraId="65B67605">
            <w:pPr>
              <w:spacing w:line="500" w:lineRule="exact"/>
              <w:jc w:val="center"/>
              <w:rPr>
                <w:rFonts w:hint="eastAsia" w:ascii="仿宋_GB2312" w:hAnsi="华文仿宋" w:eastAsia="仿宋_GB2312"/>
                <w:kern w:val="0"/>
                <w:sz w:val="18"/>
                <w:szCs w:val="18"/>
                <w:lang w:val="en-US" w:eastAsia="zh-CN"/>
              </w:rPr>
            </w:pPr>
            <w:r>
              <w:rPr>
                <w:rFonts w:hint="eastAsia" w:ascii="仿宋_GB2312" w:hAnsi="华文仿宋" w:eastAsia="仿宋_GB2312"/>
                <w:kern w:val="0"/>
                <w:sz w:val="18"/>
                <w:szCs w:val="18"/>
                <w:lang w:val="en-US" w:eastAsia="zh-CN"/>
              </w:rPr>
              <w:t>春</w:t>
            </w:r>
          </w:p>
        </w:tc>
      </w:tr>
      <w:tr w14:paraId="2D82EF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trPr>
        <w:tc>
          <w:tcPr>
            <w:tcW w:w="1103" w:type="dxa"/>
            <w:gridSpan w:val="2"/>
            <w:vMerge w:val="continue"/>
          </w:tcPr>
          <w:p w14:paraId="48C863A6">
            <w:pPr>
              <w:spacing w:line="500" w:lineRule="exact"/>
              <w:jc w:val="center"/>
              <w:rPr>
                <w:rFonts w:hint="eastAsia" w:ascii="仿宋_GB2312" w:hAnsi="华文仿宋" w:eastAsia="仿宋_GB2312"/>
                <w:kern w:val="0"/>
                <w:sz w:val="18"/>
                <w:szCs w:val="18"/>
              </w:rPr>
            </w:pPr>
          </w:p>
        </w:tc>
        <w:tc>
          <w:tcPr>
            <w:tcW w:w="1125" w:type="dxa"/>
            <w:vAlign w:val="center"/>
          </w:tcPr>
          <w:p w14:paraId="4AA3B258">
            <w:pPr>
              <w:jc w:val="center"/>
              <w:rPr>
                <w:rFonts w:eastAsia="仿宋_GB2312"/>
                <w:kern w:val="0"/>
                <w:sz w:val="18"/>
                <w:szCs w:val="18"/>
              </w:rPr>
            </w:pPr>
            <w:r>
              <w:rPr>
                <w:rFonts w:eastAsia="仿宋_GB2312"/>
                <w:kern w:val="0"/>
                <w:sz w:val="18"/>
                <w:szCs w:val="18"/>
              </w:rPr>
              <w:t>DCS5242</w:t>
            </w:r>
          </w:p>
        </w:tc>
        <w:tc>
          <w:tcPr>
            <w:tcW w:w="3650" w:type="dxa"/>
            <w:vAlign w:val="center"/>
          </w:tcPr>
          <w:p w14:paraId="04FDA80C">
            <w:pPr>
              <w:jc w:val="center"/>
              <w:rPr>
                <w:rFonts w:eastAsia="仿宋_GB2312"/>
                <w:kern w:val="0"/>
                <w:sz w:val="18"/>
                <w:szCs w:val="18"/>
              </w:rPr>
            </w:pPr>
            <w:r>
              <w:rPr>
                <w:rFonts w:hint="eastAsia" w:eastAsia="仿宋_GB2312"/>
                <w:kern w:val="0"/>
                <w:sz w:val="18"/>
                <w:szCs w:val="18"/>
              </w:rPr>
              <w:t>密码学前沿技术</w:t>
            </w:r>
          </w:p>
          <w:p w14:paraId="1224922E">
            <w:pPr>
              <w:jc w:val="center"/>
              <w:rPr>
                <w:rFonts w:eastAsia="仿宋_GB2312"/>
                <w:kern w:val="0"/>
                <w:sz w:val="18"/>
                <w:szCs w:val="18"/>
              </w:rPr>
            </w:pPr>
            <w:r>
              <w:rPr>
                <w:rFonts w:eastAsia="仿宋_GB2312"/>
                <w:kern w:val="0"/>
                <w:sz w:val="18"/>
                <w:szCs w:val="18"/>
              </w:rPr>
              <w:t>Advanced Topics of Modern Cryptography</w:t>
            </w:r>
          </w:p>
        </w:tc>
        <w:tc>
          <w:tcPr>
            <w:tcW w:w="540" w:type="dxa"/>
            <w:vAlign w:val="center"/>
          </w:tcPr>
          <w:p w14:paraId="20089C92">
            <w:pPr>
              <w:jc w:val="center"/>
              <w:rPr>
                <w:rFonts w:eastAsia="仿宋_GB2312"/>
                <w:kern w:val="0"/>
                <w:sz w:val="18"/>
                <w:szCs w:val="18"/>
              </w:rPr>
            </w:pPr>
            <w:r>
              <w:rPr>
                <w:rFonts w:eastAsia="仿宋_GB2312"/>
                <w:kern w:val="0"/>
                <w:sz w:val="18"/>
                <w:szCs w:val="18"/>
              </w:rPr>
              <w:t>36</w:t>
            </w:r>
          </w:p>
        </w:tc>
        <w:tc>
          <w:tcPr>
            <w:tcW w:w="480" w:type="dxa"/>
            <w:vAlign w:val="center"/>
          </w:tcPr>
          <w:p w14:paraId="056B46D0">
            <w:pPr>
              <w:jc w:val="center"/>
              <w:rPr>
                <w:rFonts w:eastAsia="仿宋_GB2312"/>
                <w:kern w:val="0"/>
                <w:sz w:val="18"/>
                <w:szCs w:val="18"/>
              </w:rPr>
            </w:pPr>
            <w:r>
              <w:rPr>
                <w:rFonts w:eastAsia="仿宋_GB2312"/>
                <w:kern w:val="0"/>
                <w:sz w:val="18"/>
                <w:szCs w:val="18"/>
              </w:rPr>
              <w:t>2</w:t>
            </w:r>
          </w:p>
        </w:tc>
        <w:tc>
          <w:tcPr>
            <w:tcW w:w="1370" w:type="dxa"/>
            <w:vAlign w:val="center"/>
          </w:tcPr>
          <w:p w14:paraId="7F884EC2">
            <w:pPr>
              <w:jc w:val="center"/>
              <w:rPr>
                <w:rFonts w:eastAsia="仿宋_GB2312"/>
                <w:kern w:val="0"/>
                <w:sz w:val="18"/>
                <w:szCs w:val="18"/>
              </w:rPr>
            </w:pPr>
            <w:r>
              <w:rPr>
                <w:rFonts w:hint="eastAsia" w:eastAsia="仿宋_GB2312"/>
                <w:kern w:val="0"/>
                <w:sz w:val="18"/>
                <w:szCs w:val="18"/>
              </w:rPr>
              <w:t>张方国、田海博</w:t>
            </w:r>
          </w:p>
        </w:tc>
        <w:tc>
          <w:tcPr>
            <w:tcW w:w="773" w:type="dxa"/>
            <w:vAlign w:val="center"/>
          </w:tcPr>
          <w:p w14:paraId="2B426755">
            <w:pPr>
              <w:spacing w:line="500" w:lineRule="exact"/>
              <w:jc w:val="center"/>
              <w:rPr>
                <w:rFonts w:hint="eastAsia" w:ascii="仿宋_GB2312" w:hAnsi="华文仿宋" w:eastAsia="仿宋_GB2312"/>
                <w:kern w:val="0"/>
                <w:sz w:val="18"/>
                <w:szCs w:val="18"/>
                <w:lang w:val="en-US" w:eastAsia="zh-CN"/>
              </w:rPr>
            </w:pPr>
            <w:r>
              <w:rPr>
                <w:rFonts w:hint="eastAsia" w:ascii="仿宋_GB2312" w:hAnsi="华文仿宋" w:eastAsia="仿宋_GB2312"/>
                <w:kern w:val="0"/>
                <w:sz w:val="18"/>
                <w:szCs w:val="18"/>
                <w:lang w:val="en-US" w:eastAsia="zh-CN"/>
              </w:rPr>
              <w:t>春</w:t>
            </w:r>
          </w:p>
        </w:tc>
      </w:tr>
      <w:tr w14:paraId="12F03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trPr>
        <w:tc>
          <w:tcPr>
            <w:tcW w:w="1103" w:type="dxa"/>
            <w:gridSpan w:val="2"/>
            <w:vMerge w:val="continue"/>
          </w:tcPr>
          <w:p w14:paraId="3293FD3E">
            <w:pPr>
              <w:spacing w:line="500" w:lineRule="exact"/>
              <w:jc w:val="center"/>
              <w:rPr>
                <w:rFonts w:hint="eastAsia" w:ascii="仿宋_GB2312" w:hAnsi="华文仿宋" w:eastAsia="仿宋_GB2312"/>
                <w:kern w:val="0"/>
                <w:sz w:val="18"/>
                <w:szCs w:val="18"/>
              </w:rPr>
            </w:pPr>
          </w:p>
        </w:tc>
        <w:tc>
          <w:tcPr>
            <w:tcW w:w="1125" w:type="dxa"/>
            <w:vAlign w:val="center"/>
          </w:tcPr>
          <w:p w14:paraId="7266F250">
            <w:pPr>
              <w:jc w:val="center"/>
              <w:rPr>
                <w:rFonts w:eastAsia="仿宋_GB2312"/>
                <w:kern w:val="0"/>
                <w:sz w:val="18"/>
                <w:szCs w:val="18"/>
              </w:rPr>
            </w:pPr>
            <w:r>
              <w:rPr>
                <w:rFonts w:eastAsia="仿宋_GB2312"/>
                <w:kern w:val="0"/>
                <w:sz w:val="18"/>
                <w:szCs w:val="18"/>
              </w:rPr>
              <w:t>DCS5253</w:t>
            </w:r>
          </w:p>
        </w:tc>
        <w:tc>
          <w:tcPr>
            <w:tcW w:w="3650" w:type="dxa"/>
            <w:vAlign w:val="center"/>
          </w:tcPr>
          <w:p w14:paraId="726AC924">
            <w:pPr>
              <w:jc w:val="center"/>
              <w:rPr>
                <w:rFonts w:eastAsia="仿宋_GB2312"/>
                <w:kern w:val="0"/>
                <w:sz w:val="18"/>
                <w:szCs w:val="18"/>
              </w:rPr>
            </w:pPr>
            <w:r>
              <w:rPr>
                <w:rFonts w:hint="eastAsia" w:eastAsia="仿宋_GB2312"/>
                <w:kern w:val="0"/>
                <w:sz w:val="18"/>
                <w:szCs w:val="18"/>
              </w:rPr>
              <w:t>生物信息计算前沿</w:t>
            </w:r>
          </w:p>
          <w:p w14:paraId="05B36171">
            <w:pPr>
              <w:jc w:val="center"/>
              <w:rPr>
                <w:rFonts w:eastAsia="仿宋_GB2312"/>
                <w:kern w:val="0"/>
                <w:sz w:val="18"/>
                <w:szCs w:val="18"/>
              </w:rPr>
            </w:pPr>
            <w:r>
              <w:rPr>
                <w:rFonts w:eastAsia="仿宋_GB2312"/>
                <w:kern w:val="0"/>
                <w:sz w:val="18"/>
                <w:szCs w:val="18"/>
              </w:rPr>
              <w:t>Frontiers of Bioinformatics Computing</w:t>
            </w:r>
          </w:p>
        </w:tc>
        <w:tc>
          <w:tcPr>
            <w:tcW w:w="540" w:type="dxa"/>
            <w:vAlign w:val="center"/>
          </w:tcPr>
          <w:p w14:paraId="4DADED2A">
            <w:pPr>
              <w:jc w:val="center"/>
              <w:rPr>
                <w:rFonts w:eastAsia="仿宋_GB2312"/>
                <w:kern w:val="0"/>
                <w:sz w:val="18"/>
                <w:szCs w:val="18"/>
              </w:rPr>
            </w:pPr>
            <w:r>
              <w:rPr>
                <w:rFonts w:eastAsia="仿宋_GB2312"/>
                <w:kern w:val="0"/>
                <w:sz w:val="18"/>
                <w:szCs w:val="18"/>
              </w:rPr>
              <w:t>36</w:t>
            </w:r>
          </w:p>
        </w:tc>
        <w:tc>
          <w:tcPr>
            <w:tcW w:w="480" w:type="dxa"/>
            <w:vAlign w:val="center"/>
          </w:tcPr>
          <w:p w14:paraId="2470382E">
            <w:pPr>
              <w:jc w:val="center"/>
              <w:rPr>
                <w:rFonts w:eastAsia="仿宋_GB2312"/>
                <w:kern w:val="0"/>
                <w:sz w:val="18"/>
                <w:szCs w:val="18"/>
              </w:rPr>
            </w:pPr>
            <w:r>
              <w:rPr>
                <w:rFonts w:eastAsia="仿宋_GB2312"/>
                <w:kern w:val="0"/>
                <w:sz w:val="18"/>
                <w:szCs w:val="18"/>
              </w:rPr>
              <w:t>2</w:t>
            </w:r>
          </w:p>
        </w:tc>
        <w:tc>
          <w:tcPr>
            <w:tcW w:w="1370" w:type="dxa"/>
            <w:vAlign w:val="center"/>
          </w:tcPr>
          <w:p w14:paraId="002800FA">
            <w:pPr>
              <w:jc w:val="center"/>
              <w:rPr>
                <w:rFonts w:eastAsia="仿宋_GB2312"/>
                <w:kern w:val="0"/>
                <w:sz w:val="18"/>
                <w:szCs w:val="18"/>
              </w:rPr>
            </w:pPr>
            <w:r>
              <w:rPr>
                <w:rFonts w:hint="eastAsia" w:eastAsia="仿宋_GB2312"/>
                <w:color w:val="000000" w:themeColor="text1"/>
                <w:kern w:val="0"/>
                <w:sz w:val="18"/>
                <w:szCs w:val="18"/>
                <w:highlight w:val="none"/>
                <w14:textFill>
                  <w14:solidFill>
                    <w14:schemeClr w14:val="tx1"/>
                  </w14:solidFill>
                </w14:textFill>
              </w:rPr>
              <w:t>杨跃东</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王瑞轩、王桢</w:t>
            </w:r>
          </w:p>
        </w:tc>
        <w:tc>
          <w:tcPr>
            <w:tcW w:w="773" w:type="dxa"/>
            <w:vAlign w:val="center"/>
          </w:tcPr>
          <w:p w14:paraId="19BA1625">
            <w:pPr>
              <w:spacing w:line="500" w:lineRule="exact"/>
              <w:jc w:val="center"/>
              <w:rPr>
                <w:rFonts w:hint="eastAsia" w:ascii="仿宋_GB2312" w:hAnsi="华文仿宋" w:eastAsia="仿宋_GB2312"/>
                <w:kern w:val="0"/>
                <w:sz w:val="18"/>
                <w:szCs w:val="18"/>
                <w:lang w:val="en-US" w:eastAsia="zh-CN"/>
              </w:rPr>
            </w:pPr>
            <w:r>
              <w:rPr>
                <w:rFonts w:hint="eastAsia" w:ascii="仿宋_GB2312" w:hAnsi="华文仿宋" w:eastAsia="仿宋_GB2312"/>
                <w:kern w:val="0"/>
                <w:sz w:val="18"/>
                <w:szCs w:val="18"/>
                <w:lang w:val="en-US" w:eastAsia="zh-CN"/>
              </w:rPr>
              <w:t>秋</w:t>
            </w:r>
          </w:p>
        </w:tc>
      </w:tr>
      <w:tr w14:paraId="5888B2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trPr>
        <w:tc>
          <w:tcPr>
            <w:tcW w:w="1103" w:type="dxa"/>
            <w:gridSpan w:val="2"/>
            <w:vMerge w:val="continue"/>
          </w:tcPr>
          <w:p w14:paraId="4D7BF2BE">
            <w:pPr>
              <w:spacing w:line="500" w:lineRule="exact"/>
              <w:jc w:val="center"/>
              <w:rPr>
                <w:rFonts w:hint="eastAsia" w:ascii="仿宋_GB2312" w:hAnsi="华文仿宋" w:eastAsia="仿宋_GB2312"/>
                <w:kern w:val="0"/>
                <w:sz w:val="18"/>
                <w:szCs w:val="18"/>
              </w:rPr>
            </w:pPr>
          </w:p>
        </w:tc>
        <w:tc>
          <w:tcPr>
            <w:tcW w:w="1125" w:type="dxa"/>
            <w:vAlign w:val="center"/>
          </w:tcPr>
          <w:p w14:paraId="271C379F">
            <w:pPr>
              <w:jc w:val="center"/>
              <w:rPr>
                <w:rFonts w:eastAsia="仿宋_GB2312"/>
                <w:kern w:val="0"/>
                <w:sz w:val="18"/>
                <w:szCs w:val="18"/>
              </w:rPr>
            </w:pPr>
            <w:r>
              <w:rPr>
                <w:rFonts w:eastAsia="仿宋_GB2312"/>
                <w:kern w:val="0"/>
                <w:sz w:val="18"/>
                <w:szCs w:val="18"/>
              </w:rPr>
              <w:t>DCS5260</w:t>
            </w:r>
          </w:p>
        </w:tc>
        <w:tc>
          <w:tcPr>
            <w:tcW w:w="3650" w:type="dxa"/>
            <w:vAlign w:val="center"/>
          </w:tcPr>
          <w:p w14:paraId="4A2A33B8">
            <w:pPr>
              <w:jc w:val="center"/>
              <w:rPr>
                <w:rFonts w:eastAsia="仿宋_GB2312"/>
                <w:kern w:val="0"/>
                <w:sz w:val="18"/>
                <w:szCs w:val="18"/>
              </w:rPr>
            </w:pPr>
            <w:r>
              <w:rPr>
                <w:rFonts w:hint="eastAsia" w:eastAsia="仿宋_GB2312"/>
                <w:kern w:val="0"/>
                <w:sz w:val="18"/>
                <w:szCs w:val="18"/>
              </w:rPr>
              <w:t>HPC+AI科学计算前沿</w:t>
            </w:r>
          </w:p>
          <w:p w14:paraId="008E8504">
            <w:pPr>
              <w:jc w:val="center"/>
              <w:rPr>
                <w:rFonts w:eastAsia="仿宋_GB2312"/>
                <w:kern w:val="0"/>
                <w:sz w:val="18"/>
                <w:szCs w:val="18"/>
              </w:rPr>
            </w:pPr>
            <w:r>
              <w:rPr>
                <w:rFonts w:eastAsia="仿宋_GB2312"/>
                <w:kern w:val="0"/>
                <w:sz w:val="18"/>
                <w:szCs w:val="18"/>
              </w:rPr>
              <w:t>HPC+AI for Science</w:t>
            </w:r>
          </w:p>
        </w:tc>
        <w:tc>
          <w:tcPr>
            <w:tcW w:w="540" w:type="dxa"/>
            <w:vAlign w:val="center"/>
          </w:tcPr>
          <w:p w14:paraId="76918B0B">
            <w:pPr>
              <w:jc w:val="center"/>
              <w:rPr>
                <w:rFonts w:eastAsia="仿宋_GB2312"/>
                <w:kern w:val="0"/>
                <w:sz w:val="18"/>
                <w:szCs w:val="18"/>
              </w:rPr>
            </w:pPr>
            <w:r>
              <w:rPr>
                <w:rFonts w:hint="eastAsia" w:eastAsia="仿宋_GB2312"/>
                <w:kern w:val="0"/>
                <w:sz w:val="18"/>
                <w:szCs w:val="18"/>
              </w:rPr>
              <w:t>3</w:t>
            </w:r>
            <w:r>
              <w:rPr>
                <w:rFonts w:eastAsia="仿宋_GB2312"/>
                <w:kern w:val="0"/>
                <w:sz w:val="18"/>
                <w:szCs w:val="18"/>
              </w:rPr>
              <w:t>6</w:t>
            </w:r>
          </w:p>
        </w:tc>
        <w:tc>
          <w:tcPr>
            <w:tcW w:w="480" w:type="dxa"/>
            <w:vAlign w:val="center"/>
          </w:tcPr>
          <w:p w14:paraId="489025B9">
            <w:pPr>
              <w:jc w:val="center"/>
              <w:rPr>
                <w:rFonts w:eastAsia="仿宋_GB2312"/>
                <w:kern w:val="0"/>
                <w:sz w:val="18"/>
                <w:szCs w:val="18"/>
              </w:rPr>
            </w:pPr>
            <w:r>
              <w:rPr>
                <w:rFonts w:hint="eastAsia" w:eastAsia="仿宋_GB2312"/>
                <w:kern w:val="0"/>
                <w:sz w:val="18"/>
                <w:szCs w:val="18"/>
              </w:rPr>
              <w:t>2</w:t>
            </w:r>
          </w:p>
        </w:tc>
        <w:tc>
          <w:tcPr>
            <w:tcW w:w="1370" w:type="dxa"/>
            <w:vAlign w:val="center"/>
          </w:tcPr>
          <w:p w14:paraId="5D0411D5">
            <w:pPr>
              <w:jc w:val="center"/>
              <w:rPr>
                <w:rFonts w:hint="eastAsia" w:eastAsia="仿宋_GB2312"/>
                <w:kern w:val="0"/>
                <w:sz w:val="18"/>
                <w:szCs w:val="18"/>
                <w:lang w:val="en-US" w:eastAsia="zh-CN"/>
              </w:rPr>
            </w:pPr>
            <w:r>
              <w:rPr>
                <w:rFonts w:hint="eastAsia" w:eastAsia="仿宋_GB2312"/>
                <w:kern w:val="0"/>
                <w:sz w:val="18"/>
                <w:szCs w:val="18"/>
              </w:rPr>
              <w:t>江颖等</w:t>
            </w:r>
            <w:r>
              <w:rPr>
                <w:rFonts w:hint="eastAsia" w:eastAsia="仿宋_GB2312"/>
                <w:kern w:val="0"/>
                <w:sz w:val="18"/>
                <w:szCs w:val="18"/>
                <w:lang w:val="en-US" w:eastAsia="zh-CN"/>
              </w:rPr>
              <w:t>导师组</w:t>
            </w:r>
          </w:p>
        </w:tc>
        <w:tc>
          <w:tcPr>
            <w:tcW w:w="773" w:type="dxa"/>
            <w:vAlign w:val="center"/>
          </w:tcPr>
          <w:p w14:paraId="002CFA3D">
            <w:pPr>
              <w:spacing w:line="500" w:lineRule="exact"/>
              <w:jc w:val="center"/>
              <w:rPr>
                <w:rFonts w:hint="eastAsia" w:ascii="仿宋_GB2312" w:hAnsi="华文仿宋" w:eastAsia="仿宋_GB2312"/>
                <w:kern w:val="0"/>
                <w:sz w:val="18"/>
                <w:szCs w:val="18"/>
                <w:lang w:val="en-US" w:eastAsia="zh-CN"/>
              </w:rPr>
            </w:pPr>
            <w:r>
              <w:rPr>
                <w:rFonts w:hint="eastAsia" w:ascii="仿宋_GB2312" w:hAnsi="华文仿宋" w:eastAsia="仿宋_GB2312"/>
                <w:kern w:val="0"/>
                <w:sz w:val="18"/>
                <w:szCs w:val="18"/>
                <w:lang w:val="en-US" w:eastAsia="zh-CN"/>
              </w:rPr>
              <w:t>春</w:t>
            </w:r>
          </w:p>
        </w:tc>
      </w:tr>
      <w:tr w14:paraId="62240F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trPr>
        <w:tc>
          <w:tcPr>
            <w:tcW w:w="1103" w:type="dxa"/>
            <w:gridSpan w:val="2"/>
            <w:vMerge w:val="continue"/>
          </w:tcPr>
          <w:p w14:paraId="3F7657BE">
            <w:pPr>
              <w:spacing w:line="500" w:lineRule="exact"/>
              <w:jc w:val="center"/>
              <w:rPr>
                <w:rFonts w:hint="eastAsia" w:ascii="仿宋_GB2312" w:hAnsi="华文仿宋" w:eastAsia="仿宋_GB2312"/>
                <w:kern w:val="0"/>
                <w:sz w:val="18"/>
                <w:szCs w:val="18"/>
              </w:rPr>
            </w:pPr>
          </w:p>
        </w:tc>
        <w:tc>
          <w:tcPr>
            <w:tcW w:w="1125" w:type="dxa"/>
            <w:vAlign w:val="center"/>
          </w:tcPr>
          <w:p w14:paraId="3A10ED0A">
            <w:pPr>
              <w:jc w:val="center"/>
              <w:rPr>
                <w:rFonts w:eastAsia="仿宋_GB2312"/>
                <w:kern w:val="0"/>
                <w:sz w:val="18"/>
                <w:szCs w:val="18"/>
              </w:rPr>
            </w:pPr>
            <w:r>
              <w:rPr>
                <w:rFonts w:hint="eastAsia" w:eastAsia="仿宋_GB2312"/>
                <w:kern w:val="0"/>
                <w:sz w:val="18"/>
                <w:szCs w:val="18"/>
              </w:rPr>
              <w:t>DCS5702</w:t>
            </w:r>
          </w:p>
        </w:tc>
        <w:tc>
          <w:tcPr>
            <w:tcW w:w="3650" w:type="dxa"/>
            <w:vAlign w:val="center"/>
          </w:tcPr>
          <w:p w14:paraId="5D1A2611">
            <w:pPr>
              <w:jc w:val="center"/>
              <w:rPr>
                <w:rFonts w:eastAsia="仿宋_GB2312"/>
                <w:kern w:val="0"/>
                <w:sz w:val="18"/>
                <w:szCs w:val="18"/>
              </w:rPr>
            </w:pPr>
            <w:r>
              <w:rPr>
                <w:rFonts w:hint="eastAsia" w:eastAsia="仿宋_GB2312"/>
                <w:kern w:val="0"/>
                <w:sz w:val="18"/>
                <w:szCs w:val="18"/>
              </w:rPr>
              <w:t>人工智能大数据与超算融合系统</w:t>
            </w:r>
          </w:p>
          <w:p w14:paraId="7897EB98">
            <w:pPr>
              <w:jc w:val="center"/>
              <w:rPr>
                <w:rFonts w:eastAsia="仿宋_GB2312"/>
                <w:kern w:val="0"/>
                <w:sz w:val="18"/>
                <w:szCs w:val="18"/>
              </w:rPr>
            </w:pPr>
            <w:r>
              <w:rPr>
                <w:rFonts w:hint="eastAsia" w:eastAsia="仿宋_GB2312"/>
                <w:kern w:val="0"/>
                <w:sz w:val="18"/>
                <w:szCs w:val="18"/>
              </w:rPr>
              <w:t>Artificial Intelligence Big Data and Supercomputing Integrated System</w:t>
            </w:r>
          </w:p>
        </w:tc>
        <w:tc>
          <w:tcPr>
            <w:tcW w:w="540" w:type="dxa"/>
            <w:vAlign w:val="center"/>
          </w:tcPr>
          <w:p w14:paraId="773616AF">
            <w:pPr>
              <w:jc w:val="center"/>
              <w:rPr>
                <w:rFonts w:eastAsia="仿宋_GB2312"/>
                <w:kern w:val="0"/>
                <w:sz w:val="18"/>
                <w:szCs w:val="18"/>
              </w:rPr>
            </w:pPr>
            <w:r>
              <w:rPr>
                <w:rFonts w:hint="eastAsia" w:eastAsia="仿宋_GB2312"/>
                <w:kern w:val="0"/>
                <w:sz w:val="18"/>
                <w:szCs w:val="18"/>
              </w:rPr>
              <w:t>36</w:t>
            </w:r>
          </w:p>
        </w:tc>
        <w:tc>
          <w:tcPr>
            <w:tcW w:w="480" w:type="dxa"/>
            <w:vAlign w:val="center"/>
          </w:tcPr>
          <w:p w14:paraId="71112A23">
            <w:pPr>
              <w:jc w:val="center"/>
              <w:rPr>
                <w:rFonts w:eastAsia="仿宋_GB2312"/>
                <w:kern w:val="0"/>
                <w:sz w:val="18"/>
                <w:szCs w:val="18"/>
              </w:rPr>
            </w:pPr>
            <w:r>
              <w:rPr>
                <w:rFonts w:hint="eastAsia" w:eastAsia="仿宋_GB2312"/>
                <w:kern w:val="0"/>
                <w:sz w:val="18"/>
                <w:szCs w:val="18"/>
              </w:rPr>
              <w:t>2</w:t>
            </w:r>
          </w:p>
        </w:tc>
        <w:tc>
          <w:tcPr>
            <w:tcW w:w="1370" w:type="dxa"/>
            <w:vAlign w:val="center"/>
          </w:tcPr>
          <w:p w14:paraId="3A8A7694">
            <w:pPr>
              <w:jc w:val="center"/>
              <w:rPr>
                <w:rFonts w:eastAsia="仿宋_GB2312"/>
                <w:kern w:val="0"/>
                <w:sz w:val="18"/>
                <w:szCs w:val="18"/>
              </w:rPr>
            </w:pPr>
            <w:r>
              <w:rPr>
                <w:rFonts w:hint="eastAsia" w:eastAsia="仿宋_GB2312"/>
                <w:kern w:val="0"/>
                <w:sz w:val="18"/>
                <w:szCs w:val="18"/>
              </w:rPr>
              <w:t>吴维刚、江颖、陈志广</w:t>
            </w:r>
          </w:p>
        </w:tc>
        <w:tc>
          <w:tcPr>
            <w:tcW w:w="773" w:type="dxa"/>
            <w:vAlign w:val="center"/>
          </w:tcPr>
          <w:p w14:paraId="6CF3DAF6">
            <w:pPr>
              <w:spacing w:line="500" w:lineRule="exact"/>
              <w:jc w:val="center"/>
              <w:rPr>
                <w:rFonts w:hint="eastAsia" w:ascii="仿宋_GB2312" w:hAnsi="华文仿宋" w:eastAsia="仿宋_GB2312"/>
                <w:kern w:val="0"/>
                <w:sz w:val="18"/>
                <w:szCs w:val="18"/>
                <w:lang w:val="en-US" w:eastAsia="zh-CN"/>
              </w:rPr>
            </w:pPr>
            <w:r>
              <w:rPr>
                <w:rFonts w:hint="eastAsia" w:ascii="仿宋_GB2312" w:hAnsi="华文仿宋" w:eastAsia="仿宋_GB2312"/>
                <w:kern w:val="0"/>
                <w:sz w:val="18"/>
                <w:szCs w:val="18"/>
                <w:lang w:val="en-US" w:eastAsia="zh-CN"/>
              </w:rPr>
              <w:t>春</w:t>
            </w:r>
          </w:p>
        </w:tc>
      </w:tr>
    </w:tbl>
    <w:p w14:paraId="0F305421">
      <w:pPr>
        <w:spacing w:line="500" w:lineRule="exact"/>
        <w:rPr>
          <w:rFonts w:hint="eastAsia" w:eastAsia="仿宋_GB2312"/>
          <w:sz w:val="28"/>
          <w:szCs w:val="28"/>
        </w:rPr>
      </w:pPr>
    </w:p>
    <w:p w14:paraId="21778DDF">
      <w:pPr>
        <w:numPr>
          <w:ilvl w:val="0"/>
          <w:numId w:val="1"/>
        </w:numPr>
        <w:spacing w:line="500" w:lineRule="exact"/>
        <w:rPr>
          <w:rFonts w:eastAsia="黑体"/>
          <w:bCs/>
          <w:sz w:val="32"/>
          <w:szCs w:val="32"/>
        </w:rPr>
      </w:pPr>
      <w:r>
        <w:rPr>
          <w:rFonts w:eastAsia="黑体"/>
          <w:bCs/>
          <w:sz w:val="32"/>
          <w:szCs w:val="32"/>
        </w:rPr>
        <w:t>培养环节与要求</w:t>
      </w:r>
    </w:p>
    <w:p w14:paraId="028A716B">
      <w:pPr>
        <w:adjustRightInd w:val="0"/>
        <w:snapToGrid w:val="0"/>
        <w:spacing w:line="500" w:lineRule="exact"/>
        <w:ind w:firstLine="560" w:firstLineChars="200"/>
        <w:rPr>
          <w:rFonts w:eastAsia="仿宋_GB2312"/>
          <w:sz w:val="28"/>
          <w:szCs w:val="28"/>
        </w:rPr>
      </w:pPr>
      <w:r>
        <w:rPr>
          <w:rFonts w:hint="eastAsia" w:eastAsia="仿宋_GB2312"/>
          <w:sz w:val="28"/>
          <w:szCs w:val="28"/>
        </w:rPr>
        <w:t>1. 硕博连读研究生根据《中山大学学位与研究生教育工作手册》要求进行博士研究生资格考试，通过者方可进入博士生培养阶段的学习。</w:t>
      </w:r>
    </w:p>
    <w:p w14:paraId="142DBB57">
      <w:pPr>
        <w:adjustRightInd w:val="0"/>
        <w:snapToGrid w:val="0"/>
        <w:spacing w:line="500" w:lineRule="exact"/>
        <w:ind w:firstLine="560" w:firstLineChars="200"/>
        <w:rPr>
          <w:rFonts w:eastAsia="仿宋_GB2312"/>
          <w:sz w:val="28"/>
          <w:szCs w:val="28"/>
        </w:rPr>
      </w:pPr>
      <w:r>
        <w:rPr>
          <w:rFonts w:hint="eastAsia" w:eastAsia="仿宋_GB2312"/>
          <w:sz w:val="28"/>
          <w:szCs w:val="28"/>
        </w:rPr>
        <w:t>2. 连贯培养研究生（含硕博连读、直博生）入学后三个月内须与导师协商制定个人培养计划。</w:t>
      </w:r>
    </w:p>
    <w:p w14:paraId="3978A531">
      <w:pPr>
        <w:adjustRightInd w:val="0"/>
        <w:snapToGrid w:val="0"/>
        <w:spacing w:line="500" w:lineRule="exact"/>
        <w:ind w:firstLine="560" w:firstLineChars="200"/>
        <w:rPr>
          <w:rFonts w:eastAsia="仿宋_GB2312"/>
          <w:sz w:val="28"/>
          <w:szCs w:val="28"/>
        </w:rPr>
      </w:pPr>
      <w:r>
        <w:rPr>
          <w:rFonts w:hint="eastAsia" w:eastAsia="仿宋_GB2312"/>
          <w:sz w:val="28"/>
          <w:szCs w:val="28"/>
        </w:rPr>
        <w:t>3. 连贯培养研究生（含硕博连读、直博生）应在导师指导下参加讨论班、学术活动与学术报告、科研训练等。</w:t>
      </w:r>
    </w:p>
    <w:p w14:paraId="64661633">
      <w:pPr>
        <w:adjustRightInd w:val="0"/>
        <w:snapToGrid w:val="0"/>
        <w:spacing w:line="500" w:lineRule="exact"/>
        <w:ind w:firstLine="560" w:firstLineChars="200"/>
        <w:rPr>
          <w:rFonts w:eastAsia="仿宋_GB2312"/>
          <w:sz w:val="28"/>
          <w:szCs w:val="28"/>
        </w:rPr>
      </w:pPr>
      <w:r>
        <w:rPr>
          <w:rFonts w:hint="eastAsia" w:eastAsia="仿宋_GB2312"/>
          <w:sz w:val="28"/>
          <w:szCs w:val="28"/>
        </w:rPr>
        <w:t>4. 在第三学年秋季学期结束前进行开题报告。</w:t>
      </w:r>
    </w:p>
    <w:p w14:paraId="3B6E94B8">
      <w:pPr>
        <w:adjustRightInd w:val="0"/>
        <w:snapToGrid w:val="0"/>
        <w:spacing w:line="500" w:lineRule="exact"/>
        <w:ind w:firstLine="560" w:firstLineChars="200"/>
        <w:jc w:val="left"/>
        <w:rPr>
          <w:rFonts w:hint="eastAsia" w:eastAsia="仿宋_GB2312"/>
          <w:sz w:val="28"/>
          <w:szCs w:val="28"/>
        </w:rPr>
      </w:pPr>
      <w:r>
        <w:rPr>
          <w:rFonts w:hint="eastAsia" w:eastAsia="仿宋_GB2312"/>
          <w:sz w:val="28"/>
          <w:szCs w:val="28"/>
        </w:rPr>
        <w:t>5. 在第三学年春季学期结束前进行中期考核。开题报告与中期考核工作时间间隔一般不少于6个月。</w:t>
      </w:r>
    </w:p>
    <w:p w14:paraId="6D16BF78">
      <w:pPr>
        <w:adjustRightInd w:val="0"/>
        <w:snapToGrid w:val="0"/>
        <w:spacing w:line="500" w:lineRule="exact"/>
        <w:ind w:firstLine="560" w:firstLineChars="200"/>
        <w:jc w:val="left"/>
        <w:rPr>
          <w:rFonts w:hint="eastAsia" w:eastAsia="仿宋_GB2312"/>
          <w:sz w:val="28"/>
          <w:szCs w:val="28"/>
        </w:rPr>
      </w:pPr>
    </w:p>
    <w:p w14:paraId="1C4C29CB">
      <w:pPr>
        <w:numPr>
          <w:ilvl w:val="0"/>
          <w:numId w:val="1"/>
        </w:numPr>
        <w:spacing w:line="500" w:lineRule="exact"/>
        <w:rPr>
          <w:rFonts w:eastAsia="黑体"/>
          <w:bCs/>
          <w:sz w:val="32"/>
          <w:szCs w:val="32"/>
        </w:rPr>
      </w:pPr>
      <w:r>
        <w:rPr>
          <w:rFonts w:eastAsia="黑体"/>
          <w:bCs/>
          <w:sz w:val="32"/>
          <w:szCs w:val="32"/>
        </w:rPr>
        <w:t>学位论文</w:t>
      </w:r>
    </w:p>
    <w:p w14:paraId="30EC0725">
      <w:pPr>
        <w:adjustRightInd w:val="0"/>
        <w:snapToGrid w:val="0"/>
        <w:spacing w:line="500" w:lineRule="exact"/>
        <w:ind w:firstLine="560" w:firstLineChars="200"/>
        <w:jc w:val="left"/>
        <w:rPr>
          <w:rFonts w:eastAsia="仿宋_GB2312"/>
          <w:color w:val="000000"/>
          <w:sz w:val="28"/>
          <w:szCs w:val="28"/>
        </w:rPr>
      </w:pPr>
      <w:r>
        <w:rPr>
          <w:rFonts w:hint="eastAsia" w:eastAsia="仿宋_GB2312"/>
          <w:color w:val="000000"/>
          <w:sz w:val="28"/>
          <w:szCs w:val="28"/>
        </w:rPr>
        <w:t>1. 学位论文应在导师指导下独立完成。连贯培养研究生（含硕博连读、直博生）应至少有五分之三时间完成学位论文。</w:t>
      </w:r>
    </w:p>
    <w:p w14:paraId="69DAEB55">
      <w:pPr>
        <w:adjustRightInd w:val="0"/>
        <w:snapToGrid w:val="0"/>
        <w:spacing w:line="500" w:lineRule="exact"/>
        <w:ind w:firstLine="560" w:firstLineChars="200"/>
        <w:jc w:val="left"/>
        <w:rPr>
          <w:rFonts w:eastAsia="仿宋_GB2312"/>
          <w:color w:val="000000"/>
          <w:sz w:val="28"/>
          <w:szCs w:val="28"/>
        </w:rPr>
      </w:pPr>
      <w:r>
        <w:rPr>
          <w:rFonts w:hint="eastAsia" w:eastAsia="仿宋_GB2312"/>
          <w:color w:val="000000"/>
          <w:sz w:val="28"/>
          <w:szCs w:val="28"/>
        </w:rPr>
        <w:t xml:space="preserve">2. 学位论文写作规范参照《中山大学学位与研究生教育工作手册》的有关规定执行。 </w:t>
      </w:r>
    </w:p>
    <w:p w14:paraId="0E83145E">
      <w:pPr>
        <w:adjustRightInd w:val="0"/>
        <w:snapToGrid w:val="0"/>
        <w:spacing w:line="500" w:lineRule="exact"/>
        <w:ind w:firstLine="560" w:firstLineChars="200"/>
        <w:jc w:val="left"/>
        <w:rPr>
          <w:rFonts w:hint="eastAsia" w:eastAsia="仿宋_GB2312"/>
          <w:color w:val="000000"/>
          <w:sz w:val="28"/>
          <w:szCs w:val="28"/>
        </w:rPr>
      </w:pPr>
      <w:r>
        <w:rPr>
          <w:rFonts w:hint="eastAsia" w:eastAsia="仿宋_GB2312"/>
          <w:color w:val="000000"/>
          <w:sz w:val="28"/>
          <w:szCs w:val="28"/>
        </w:rPr>
        <w:t>3. 学位论文应对科学研究、技术进步、经济建设或社会建设有较大的理论和实践意义；应体现作者掌握本研究领域的方法和技能，具有较强的分析问题和解决问题的能力，能独立进行科学研究工作；论文内容应充分反映作者具有坚实宽广的基础理论和系统深入的专门知识；论文要符合科学研究的规范，应在科学或专门技术上有创造性的成果。</w:t>
      </w:r>
    </w:p>
    <w:p w14:paraId="7DE41A84">
      <w:pPr>
        <w:adjustRightInd w:val="0"/>
        <w:snapToGrid w:val="0"/>
        <w:spacing w:line="500" w:lineRule="exact"/>
        <w:ind w:firstLine="560" w:firstLineChars="200"/>
        <w:jc w:val="left"/>
        <w:rPr>
          <w:rFonts w:hint="eastAsia" w:eastAsia="仿宋_GB2312"/>
          <w:color w:val="000000"/>
          <w:sz w:val="28"/>
          <w:szCs w:val="28"/>
        </w:rPr>
      </w:pPr>
    </w:p>
    <w:p w14:paraId="55B1109F">
      <w:pPr>
        <w:numPr>
          <w:ilvl w:val="0"/>
          <w:numId w:val="1"/>
        </w:numPr>
        <w:spacing w:line="500" w:lineRule="exact"/>
        <w:rPr>
          <w:rFonts w:eastAsia="黑体"/>
          <w:bCs/>
          <w:sz w:val="32"/>
          <w:szCs w:val="32"/>
        </w:rPr>
      </w:pPr>
      <w:r>
        <w:rPr>
          <w:rFonts w:eastAsia="黑体"/>
          <w:bCs/>
          <w:sz w:val="32"/>
          <w:szCs w:val="32"/>
        </w:rPr>
        <w:t>论文答辩与学位授予</w:t>
      </w:r>
    </w:p>
    <w:p w14:paraId="04D77FA1">
      <w:pPr>
        <w:adjustRightInd w:val="0"/>
        <w:snapToGrid w:val="0"/>
        <w:spacing w:line="500" w:lineRule="exact"/>
        <w:ind w:firstLine="560" w:firstLineChars="200"/>
        <w:rPr>
          <w:rFonts w:eastAsia="仿宋_GB2312"/>
          <w:sz w:val="28"/>
          <w:szCs w:val="28"/>
        </w:rPr>
      </w:pPr>
      <w:bookmarkStart w:id="0" w:name="_Hlk165194835"/>
      <w:r>
        <w:rPr>
          <w:rFonts w:hint="eastAsia" w:ascii="仿宋_GB2312" w:hAnsi="华文仿宋" w:eastAsia="仿宋_GB2312"/>
          <w:sz w:val="28"/>
          <w:szCs w:val="28"/>
        </w:rPr>
        <w:t>连贯培养研究生修满培养方案规定的学分，课程考核合格，具有符合要求的学术成果，方可申请学位论文答辩。发表学术成果要求根据院系研究生申请学位学术成果规定执行</w:t>
      </w:r>
      <w:r>
        <w:rPr>
          <w:rFonts w:hint="eastAsia" w:eastAsia="仿宋_GB2312"/>
          <w:sz w:val="28"/>
          <w:szCs w:val="28"/>
        </w:rPr>
        <w:t>。</w:t>
      </w:r>
      <w:bookmarkEnd w:id="0"/>
    </w:p>
    <w:p w14:paraId="5A47EB20">
      <w:pPr>
        <w:adjustRightInd w:val="0"/>
        <w:snapToGrid w:val="0"/>
        <w:spacing w:line="500" w:lineRule="exact"/>
        <w:ind w:firstLine="560" w:firstLineChars="200"/>
        <w:rPr>
          <w:rFonts w:eastAsia="仿宋_GB2312"/>
          <w:sz w:val="28"/>
          <w:szCs w:val="28"/>
        </w:rPr>
      </w:pPr>
      <w:bookmarkStart w:id="1" w:name="_Hlk165410514"/>
      <w:r>
        <w:rPr>
          <w:rFonts w:hint="eastAsia" w:eastAsia="仿宋_GB2312"/>
          <w:sz w:val="28"/>
          <w:szCs w:val="28"/>
        </w:rPr>
        <w:t>学位论文经导师审阅同意，通过预答辩、重合度检测后，方可申请送审，</w:t>
      </w:r>
      <w:bookmarkEnd w:id="1"/>
      <w:r>
        <w:rPr>
          <w:rFonts w:hint="eastAsia" w:eastAsia="仿宋_GB2312"/>
          <w:sz w:val="28"/>
          <w:szCs w:val="28"/>
        </w:rPr>
        <w:t>博士论文评阅人应为校外具有博士生导师资格的本领域高水平专家，每篇博士学位论文评阅人一般为3名。</w:t>
      </w:r>
    </w:p>
    <w:p w14:paraId="141407D7">
      <w:pPr>
        <w:adjustRightInd w:val="0"/>
        <w:snapToGrid w:val="0"/>
        <w:spacing w:line="500" w:lineRule="exact"/>
        <w:ind w:firstLine="560" w:firstLineChars="200"/>
        <w:rPr>
          <w:rFonts w:eastAsia="仿宋_GB2312"/>
          <w:sz w:val="28"/>
          <w:szCs w:val="28"/>
        </w:rPr>
      </w:pPr>
      <w:bookmarkStart w:id="2" w:name="_Hlk165410607"/>
      <w:r>
        <w:rPr>
          <w:rFonts w:hint="eastAsia" w:eastAsia="仿宋_GB2312"/>
          <w:sz w:val="28"/>
          <w:szCs w:val="28"/>
        </w:rPr>
        <w:t>学位论文经评阅人评审认为达到与申请学位相应的学术水平，方可组织答辩会。</w:t>
      </w:r>
      <w:bookmarkEnd w:id="2"/>
      <w:r>
        <w:rPr>
          <w:rFonts w:hint="eastAsia" w:eastAsia="仿宋_GB2312"/>
          <w:sz w:val="28"/>
          <w:szCs w:val="28"/>
        </w:rPr>
        <w:t>博士学位论文答辩委员会由5-7人组成，其中校外专家一般为2-3名。</w:t>
      </w:r>
      <w:bookmarkStart w:id="3" w:name="_Hlk165410678"/>
      <w:r>
        <w:rPr>
          <w:rFonts w:hint="eastAsia" w:eastAsia="仿宋_GB2312"/>
          <w:sz w:val="28"/>
          <w:szCs w:val="28"/>
        </w:rPr>
        <w:t>论文答辩程序严格根据《中山大学博士硕士学位授予工作细则》的规定执行。</w:t>
      </w:r>
    </w:p>
    <w:p w14:paraId="5F7D7515">
      <w:pPr>
        <w:adjustRightInd w:val="0"/>
        <w:snapToGrid w:val="0"/>
        <w:spacing w:line="500" w:lineRule="exact"/>
        <w:ind w:firstLine="560" w:firstLineChars="200"/>
        <w:rPr>
          <w:rFonts w:hint="eastAsia" w:eastAsia="仿宋_GB2312"/>
          <w:sz w:val="28"/>
          <w:szCs w:val="28"/>
        </w:rPr>
      </w:pPr>
      <w:r>
        <w:rPr>
          <w:rFonts w:hint="eastAsia" w:eastAsia="仿宋_GB2312"/>
          <w:sz w:val="28"/>
          <w:szCs w:val="28"/>
        </w:rPr>
        <w:t>通过博士学位论文答辩者，经学部学位评定委员会审核、学校学位评定委员会审批，可授予理学博士学位。连贯培养研究生的博士学位论文未获通过，答辩委员会认为达到硕士学位论文水平的，可授予硕士学位；答辩委员会认为未能达到硕士学位要求的，不授予学位。</w:t>
      </w:r>
    </w:p>
    <w:p w14:paraId="334B2FF5">
      <w:pPr>
        <w:adjustRightInd w:val="0"/>
        <w:snapToGrid w:val="0"/>
        <w:spacing w:line="500" w:lineRule="exact"/>
        <w:ind w:firstLine="560" w:firstLineChars="200"/>
        <w:rPr>
          <w:rFonts w:hint="eastAsia" w:eastAsia="仿宋_GB2312"/>
          <w:sz w:val="28"/>
          <w:szCs w:val="28"/>
        </w:rPr>
      </w:pPr>
    </w:p>
    <w:bookmarkEnd w:id="3"/>
    <w:p w14:paraId="6B018663">
      <w:pPr>
        <w:numPr>
          <w:ilvl w:val="0"/>
          <w:numId w:val="1"/>
        </w:numPr>
        <w:spacing w:line="500" w:lineRule="exact"/>
        <w:rPr>
          <w:rFonts w:eastAsia="黑体"/>
          <w:bCs/>
          <w:sz w:val="32"/>
          <w:szCs w:val="32"/>
        </w:rPr>
      </w:pPr>
      <w:r>
        <w:rPr>
          <w:rFonts w:eastAsia="黑体"/>
          <w:bCs/>
          <w:sz w:val="32"/>
          <w:szCs w:val="32"/>
        </w:rPr>
        <w:t xml:space="preserve"> 必读和选读书目</w:t>
      </w:r>
    </w:p>
    <w:p w14:paraId="2AD35F8D">
      <w:pPr>
        <w:adjustRightInd w:val="0"/>
        <w:snapToGrid w:val="0"/>
        <w:spacing w:line="500" w:lineRule="exact"/>
        <w:jc w:val="left"/>
        <w:rPr>
          <w:rFonts w:hint="eastAsia" w:ascii="仿宋_GB2312" w:hAnsi="宋体" w:eastAsia="仿宋_GB2312"/>
          <w:b/>
          <w:sz w:val="28"/>
          <w:szCs w:val="28"/>
        </w:rPr>
      </w:pPr>
    </w:p>
    <w:p w14:paraId="0A0562F1">
      <w:pPr>
        <w:adjustRightInd w:val="0"/>
        <w:snapToGrid w:val="0"/>
        <w:spacing w:line="500" w:lineRule="exact"/>
        <w:jc w:val="left"/>
        <w:rPr>
          <w:rFonts w:ascii="仿宋_GB2312" w:eastAsia="仿宋_GB2312"/>
        </w:rPr>
      </w:pPr>
      <w:r>
        <w:rPr>
          <w:rFonts w:hint="eastAsia" w:ascii="仿宋_GB2312" w:hAnsi="宋体" w:eastAsia="仿宋_GB2312"/>
          <w:b/>
          <w:sz w:val="28"/>
          <w:szCs w:val="28"/>
        </w:rPr>
        <w:t>计算数学方向</w:t>
      </w:r>
    </w:p>
    <w:tbl>
      <w:tblPr>
        <w:tblStyle w:val="18"/>
        <w:tblW w:w="87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8"/>
        <w:gridCol w:w="4680"/>
        <w:gridCol w:w="1980"/>
        <w:gridCol w:w="1440"/>
      </w:tblGrid>
      <w:tr w14:paraId="0B4ACD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0BB16C4E">
            <w:pPr>
              <w:widowControl/>
              <w:spacing w:before="100" w:beforeAutospacing="1" w:after="100" w:afterAutospacing="1"/>
              <w:jc w:val="center"/>
              <w:rPr>
                <w:rFonts w:eastAsia="仿宋_GB2312"/>
                <w:sz w:val="18"/>
                <w:szCs w:val="18"/>
              </w:rPr>
            </w:pPr>
            <w:r>
              <w:rPr>
                <w:rFonts w:eastAsia="仿宋_GB2312"/>
                <w:sz w:val="18"/>
                <w:szCs w:val="18"/>
              </w:rPr>
              <w:t>序号</w:t>
            </w:r>
          </w:p>
        </w:tc>
        <w:tc>
          <w:tcPr>
            <w:tcW w:w="4680" w:type="dxa"/>
            <w:tcBorders>
              <w:top w:val="single" w:color="auto" w:sz="4" w:space="0"/>
              <w:left w:val="single" w:color="auto" w:sz="4" w:space="0"/>
              <w:bottom w:val="single" w:color="auto" w:sz="4" w:space="0"/>
              <w:right w:val="single" w:color="auto" w:sz="4" w:space="0"/>
            </w:tcBorders>
            <w:vAlign w:val="center"/>
          </w:tcPr>
          <w:p w14:paraId="30949B04">
            <w:pPr>
              <w:widowControl/>
              <w:spacing w:before="100" w:beforeAutospacing="1" w:after="100" w:afterAutospacing="1" w:line="360" w:lineRule="auto"/>
              <w:jc w:val="center"/>
              <w:rPr>
                <w:rFonts w:eastAsia="仿宋_GB2312"/>
                <w:sz w:val="18"/>
                <w:szCs w:val="18"/>
              </w:rPr>
            </w:pPr>
            <w:r>
              <w:rPr>
                <w:rFonts w:eastAsia="仿宋_GB2312"/>
                <w:sz w:val="18"/>
                <w:szCs w:val="18"/>
              </w:rPr>
              <w:t>著作或期刊名</w:t>
            </w:r>
          </w:p>
        </w:tc>
        <w:tc>
          <w:tcPr>
            <w:tcW w:w="1980" w:type="dxa"/>
            <w:tcBorders>
              <w:top w:val="single" w:color="auto" w:sz="4" w:space="0"/>
              <w:left w:val="single" w:color="auto" w:sz="4" w:space="0"/>
              <w:bottom w:val="single" w:color="auto" w:sz="4" w:space="0"/>
              <w:right w:val="single" w:color="auto" w:sz="4" w:space="0"/>
            </w:tcBorders>
            <w:vAlign w:val="center"/>
          </w:tcPr>
          <w:p w14:paraId="500BC883">
            <w:pPr>
              <w:widowControl/>
              <w:spacing w:before="100" w:beforeAutospacing="1" w:after="100" w:afterAutospacing="1"/>
              <w:jc w:val="center"/>
              <w:rPr>
                <w:rFonts w:eastAsia="仿宋_GB2312"/>
                <w:sz w:val="18"/>
                <w:szCs w:val="18"/>
              </w:rPr>
            </w:pPr>
            <w:r>
              <w:rPr>
                <w:rFonts w:eastAsia="仿宋_GB2312"/>
                <w:sz w:val="18"/>
                <w:szCs w:val="18"/>
              </w:rPr>
              <w:t>作者或出版社</w:t>
            </w:r>
          </w:p>
        </w:tc>
        <w:tc>
          <w:tcPr>
            <w:tcW w:w="1440" w:type="dxa"/>
            <w:tcBorders>
              <w:top w:val="single" w:color="auto" w:sz="4" w:space="0"/>
              <w:left w:val="single" w:color="auto" w:sz="4" w:space="0"/>
              <w:bottom w:val="single" w:color="auto" w:sz="4" w:space="0"/>
              <w:right w:val="single" w:color="auto" w:sz="4" w:space="0"/>
            </w:tcBorders>
            <w:vAlign w:val="center"/>
          </w:tcPr>
          <w:p w14:paraId="6F181E2E">
            <w:pPr>
              <w:widowControl/>
              <w:spacing w:before="100" w:beforeAutospacing="1" w:after="100" w:afterAutospacing="1"/>
              <w:jc w:val="center"/>
              <w:rPr>
                <w:rFonts w:eastAsia="仿宋_GB2312"/>
                <w:sz w:val="18"/>
                <w:szCs w:val="18"/>
              </w:rPr>
            </w:pPr>
            <w:r>
              <w:rPr>
                <w:rFonts w:eastAsia="仿宋_GB2312"/>
                <w:sz w:val="18"/>
                <w:szCs w:val="18"/>
              </w:rPr>
              <w:t>必读或选读</w:t>
            </w:r>
          </w:p>
        </w:tc>
      </w:tr>
      <w:tr w14:paraId="0A7153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4FC19FE5">
            <w:pPr>
              <w:widowControl/>
              <w:spacing w:before="100" w:beforeAutospacing="1" w:after="100" w:afterAutospacing="1"/>
              <w:jc w:val="center"/>
              <w:rPr>
                <w:rFonts w:eastAsia="仿宋_GB2312"/>
                <w:sz w:val="18"/>
                <w:szCs w:val="18"/>
              </w:rPr>
            </w:pPr>
            <w:r>
              <w:rPr>
                <w:rFonts w:eastAsia="仿宋_GB2312"/>
                <w:sz w:val="18"/>
                <w:szCs w:val="18"/>
              </w:rPr>
              <w:t>1</w:t>
            </w:r>
          </w:p>
        </w:tc>
        <w:tc>
          <w:tcPr>
            <w:tcW w:w="4680" w:type="dxa"/>
            <w:tcBorders>
              <w:top w:val="single" w:color="auto" w:sz="4" w:space="0"/>
              <w:left w:val="single" w:color="auto" w:sz="4" w:space="0"/>
              <w:bottom w:val="single" w:color="auto" w:sz="4" w:space="0"/>
              <w:right w:val="single" w:color="auto" w:sz="4" w:space="0"/>
            </w:tcBorders>
            <w:vAlign w:val="center"/>
          </w:tcPr>
          <w:p w14:paraId="521FEE8E">
            <w:pPr>
              <w:widowControl/>
              <w:spacing w:before="100" w:beforeAutospacing="1" w:after="100" w:afterAutospacing="1" w:line="360" w:lineRule="auto"/>
              <w:jc w:val="center"/>
              <w:rPr>
                <w:rFonts w:eastAsia="仿宋_GB2312"/>
                <w:sz w:val="18"/>
                <w:szCs w:val="18"/>
              </w:rPr>
            </w:pPr>
            <w:r>
              <w:rPr>
                <w:rFonts w:eastAsia="仿宋_GB2312"/>
                <w:sz w:val="18"/>
                <w:szCs w:val="18"/>
              </w:rPr>
              <w:t>泛函分析（上册）</w:t>
            </w:r>
          </w:p>
        </w:tc>
        <w:tc>
          <w:tcPr>
            <w:tcW w:w="1980" w:type="dxa"/>
            <w:tcBorders>
              <w:top w:val="single" w:color="auto" w:sz="4" w:space="0"/>
              <w:left w:val="single" w:color="auto" w:sz="4" w:space="0"/>
              <w:bottom w:val="single" w:color="auto" w:sz="4" w:space="0"/>
              <w:right w:val="single" w:color="auto" w:sz="4" w:space="0"/>
            </w:tcBorders>
            <w:vAlign w:val="center"/>
          </w:tcPr>
          <w:p w14:paraId="2E0F99AD">
            <w:pPr>
              <w:widowControl/>
              <w:spacing w:before="100" w:beforeAutospacing="1" w:after="100" w:afterAutospacing="1"/>
              <w:jc w:val="center"/>
              <w:rPr>
                <w:rFonts w:eastAsia="仿宋_GB2312"/>
                <w:sz w:val="18"/>
                <w:szCs w:val="18"/>
              </w:rPr>
            </w:pPr>
            <w:r>
              <w:rPr>
                <w:rFonts w:eastAsia="仿宋_GB2312"/>
                <w:sz w:val="18"/>
                <w:szCs w:val="18"/>
              </w:rPr>
              <w:t>张恭庆、林源渠</w:t>
            </w:r>
          </w:p>
        </w:tc>
        <w:tc>
          <w:tcPr>
            <w:tcW w:w="1440" w:type="dxa"/>
            <w:tcBorders>
              <w:top w:val="single" w:color="auto" w:sz="4" w:space="0"/>
              <w:left w:val="single" w:color="auto" w:sz="4" w:space="0"/>
              <w:bottom w:val="single" w:color="auto" w:sz="4" w:space="0"/>
              <w:right w:val="single" w:color="auto" w:sz="4" w:space="0"/>
            </w:tcBorders>
            <w:vAlign w:val="center"/>
          </w:tcPr>
          <w:p w14:paraId="27873E64">
            <w:pPr>
              <w:widowControl/>
              <w:spacing w:before="100" w:beforeAutospacing="1" w:after="100" w:afterAutospacing="1"/>
              <w:jc w:val="center"/>
              <w:rPr>
                <w:rFonts w:eastAsia="仿宋_GB2312"/>
                <w:sz w:val="18"/>
                <w:szCs w:val="18"/>
              </w:rPr>
            </w:pPr>
          </w:p>
        </w:tc>
      </w:tr>
      <w:tr w14:paraId="684880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3890BED0">
            <w:pPr>
              <w:widowControl/>
              <w:spacing w:before="100" w:beforeAutospacing="1" w:after="100" w:afterAutospacing="1"/>
              <w:jc w:val="center"/>
              <w:rPr>
                <w:rFonts w:eastAsia="仿宋_GB2312"/>
                <w:sz w:val="18"/>
                <w:szCs w:val="18"/>
              </w:rPr>
            </w:pPr>
            <w:r>
              <w:rPr>
                <w:rFonts w:eastAsia="仿宋_GB2312"/>
                <w:sz w:val="18"/>
                <w:szCs w:val="18"/>
              </w:rPr>
              <w:t>2</w:t>
            </w:r>
          </w:p>
        </w:tc>
        <w:tc>
          <w:tcPr>
            <w:tcW w:w="4680" w:type="dxa"/>
            <w:tcBorders>
              <w:top w:val="single" w:color="auto" w:sz="4" w:space="0"/>
              <w:left w:val="single" w:color="auto" w:sz="4" w:space="0"/>
              <w:bottom w:val="single" w:color="auto" w:sz="4" w:space="0"/>
              <w:right w:val="single" w:color="auto" w:sz="4" w:space="0"/>
            </w:tcBorders>
            <w:vAlign w:val="center"/>
          </w:tcPr>
          <w:p w14:paraId="23F506C2">
            <w:pPr>
              <w:widowControl/>
              <w:spacing w:before="100" w:beforeAutospacing="1" w:after="100" w:afterAutospacing="1" w:line="360" w:lineRule="auto"/>
              <w:jc w:val="center"/>
              <w:rPr>
                <w:rFonts w:eastAsia="仿宋_GB2312"/>
                <w:sz w:val="18"/>
                <w:szCs w:val="18"/>
              </w:rPr>
            </w:pPr>
            <w:r>
              <w:rPr>
                <w:rFonts w:eastAsia="仿宋_GB2312"/>
                <w:sz w:val="18"/>
                <w:szCs w:val="18"/>
              </w:rPr>
              <w:t>索波列夫空间</w:t>
            </w:r>
          </w:p>
        </w:tc>
        <w:tc>
          <w:tcPr>
            <w:tcW w:w="1980" w:type="dxa"/>
            <w:tcBorders>
              <w:top w:val="single" w:color="auto" w:sz="4" w:space="0"/>
              <w:left w:val="single" w:color="auto" w:sz="4" w:space="0"/>
              <w:bottom w:val="single" w:color="auto" w:sz="4" w:space="0"/>
              <w:right w:val="single" w:color="auto" w:sz="4" w:space="0"/>
            </w:tcBorders>
            <w:vAlign w:val="center"/>
          </w:tcPr>
          <w:p w14:paraId="0A11081D">
            <w:pPr>
              <w:widowControl/>
              <w:spacing w:before="100" w:beforeAutospacing="1" w:after="100" w:afterAutospacing="1"/>
              <w:jc w:val="center"/>
              <w:rPr>
                <w:rFonts w:eastAsia="仿宋_GB2312"/>
                <w:sz w:val="18"/>
                <w:szCs w:val="18"/>
              </w:rPr>
            </w:pPr>
            <w:r>
              <w:rPr>
                <w:rFonts w:eastAsia="仿宋_GB2312"/>
                <w:sz w:val="18"/>
                <w:szCs w:val="18"/>
              </w:rPr>
              <w:t>李立康、郭毓驹</w:t>
            </w:r>
          </w:p>
        </w:tc>
        <w:tc>
          <w:tcPr>
            <w:tcW w:w="1440" w:type="dxa"/>
            <w:tcBorders>
              <w:top w:val="single" w:color="auto" w:sz="4" w:space="0"/>
              <w:left w:val="single" w:color="auto" w:sz="4" w:space="0"/>
              <w:bottom w:val="single" w:color="auto" w:sz="4" w:space="0"/>
              <w:right w:val="single" w:color="auto" w:sz="4" w:space="0"/>
            </w:tcBorders>
            <w:vAlign w:val="center"/>
          </w:tcPr>
          <w:p w14:paraId="4A70E686">
            <w:pPr>
              <w:widowControl/>
              <w:spacing w:before="100" w:beforeAutospacing="1" w:after="100" w:afterAutospacing="1"/>
              <w:jc w:val="center"/>
              <w:rPr>
                <w:rFonts w:eastAsia="仿宋_GB2312"/>
                <w:sz w:val="18"/>
                <w:szCs w:val="18"/>
              </w:rPr>
            </w:pPr>
          </w:p>
        </w:tc>
      </w:tr>
      <w:tr w14:paraId="561810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4064E5E9">
            <w:pPr>
              <w:widowControl/>
              <w:spacing w:before="100" w:beforeAutospacing="1" w:after="100" w:afterAutospacing="1"/>
              <w:jc w:val="center"/>
              <w:rPr>
                <w:rFonts w:eastAsia="仿宋_GB2312"/>
                <w:sz w:val="18"/>
                <w:szCs w:val="18"/>
              </w:rPr>
            </w:pPr>
            <w:r>
              <w:rPr>
                <w:rFonts w:eastAsia="仿宋_GB2312"/>
                <w:sz w:val="18"/>
                <w:szCs w:val="18"/>
              </w:rPr>
              <w:t>3</w:t>
            </w:r>
          </w:p>
        </w:tc>
        <w:tc>
          <w:tcPr>
            <w:tcW w:w="4680" w:type="dxa"/>
            <w:tcBorders>
              <w:top w:val="single" w:color="auto" w:sz="4" w:space="0"/>
              <w:left w:val="single" w:color="auto" w:sz="4" w:space="0"/>
              <w:bottom w:val="single" w:color="auto" w:sz="4" w:space="0"/>
              <w:right w:val="single" w:color="auto" w:sz="4" w:space="0"/>
            </w:tcBorders>
            <w:vAlign w:val="center"/>
          </w:tcPr>
          <w:p w14:paraId="79D4F328">
            <w:pPr>
              <w:widowControl/>
              <w:spacing w:before="100" w:beforeAutospacing="1" w:after="100" w:afterAutospacing="1" w:line="360" w:lineRule="auto"/>
              <w:jc w:val="center"/>
              <w:rPr>
                <w:rFonts w:eastAsia="仿宋_GB2312"/>
                <w:sz w:val="18"/>
                <w:szCs w:val="18"/>
              </w:rPr>
            </w:pPr>
            <w:r>
              <w:rPr>
                <w:rFonts w:eastAsia="仿宋_GB2312"/>
                <w:sz w:val="18"/>
                <w:szCs w:val="18"/>
              </w:rPr>
              <w:t>Functional Analysis（泛函分析）</w:t>
            </w:r>
          </w:p>
        </w:tc>
        <w:tc>
          <w:tcPr>
            <w:tcW w:w="1980" w:type="dxa"/>
            <w:tcBorders>
              <w:top w:val="single" w:color="auto" w:sz="4" w:space="0"/>
              <w:left w:val="single" w:color="auto" w:sz="4" w:space="0"/>
              <w:bottom w:val="single" w:color="auto" w:sz="4" w:space="0"/>
              <w:right w:val="single" w:color="auto" w:sz="4" w:space="0"/>
            </w:tcBorders>
            <w:vAlign w:val="center"/>
          </w:tcPr>
          <w:p w14:paraId="79814BBA">
            <w:pPr>
              <w:widowControl/>
              <w:spacing w:before="100" w:beforeAutospacing="1" w:after="100" w:afterAutospacing="1"/>
              <w:jc w:val="center"/>
              <w:rPr>
                <w:rFonts w:eastAsia="仿宋_GB2312"/>
                <w:sz w:val="18"/>
                <w:szCs w:val="18"/>
              </w:rPr>
            </w:pPr>
            <w:r>
              <w:rPr>
                <w:rFonts w:eastAsia="仿宋_GB2312"/>
                <w:sz w:val="18"/>
                <w:szCs w:val="18"/>
              </w:rPr>
              <w:t>Rudin（美），赵俊峰、刘培德译</w:t>
            </w:r>
          </w:p>
        </w:tc>
        <w:tc>
          <w:tcPr>
            <w:tcW w:w="1440" w:type="dxa"/>
            <w:tcBorders>
              <w:top w:val="single" w:color="auto" w:sz="4" w:space="0"/>
              <w:left w:val="single" w:color="auto" w:sz="4" w:space="0"/>
              <w:bottom w:val="single" w:color="auto" w:sz="4" w:space="0"/>
              <w:right w:val="single" w:color="auto" w:sz="4" w:space="0"/>
            </w:tcBorders>
            <w:vAlign w:val="center"/>
          </w:tcPr>
          <w:p w14:paraId="704304B2">
            <w:pPr>
              <w:widowControl/>
              <w:spacing w:before="100" w:beforeAutospacing="1" w:after="100" w:afterAutospacing="1"/>
              <w:jc w:val="center"/>
              <w:rPr>
                <w:rFonts w:eastAsia="仿宋_GB2312"/>
                <w:sz w:val="18"/>
                <w:szCs w:val="18"/>
              </w:rPr>
            </w:pPr>
          </w:p>
        </w:tc>
      </w:tr>
      <w:tr w14:paraId="4B9EA1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7444D254">
            <w:pPr>
              <w:widowControl/>
              <w:spacing w:before="100" w:beforeAutospacing="1" w:after="100" w:afterAutospacing="1"/>
              <w:jc w:val="center"/>
              <w:rPr>
                <w:rFonts w:eastAsia="仿宋_GB2312"/>
                <w:sz w:val="18"/>
                <w:szCs w:val="18"/>
              </w:rPr>
            </w:pPr>
            <w:r>
              <w:rPr>
                <w:rFonts w:eastAsia="仿宋_GB2312"/>
                <w:sz w:val="18"/>
                <w:szCs w:val="18"/>
              </w:rPr>
              <w:t>4</w:t>
            </w:r>
          </w:p>
        </w:tc>
        <w:tc>
          <w:tcPr>
            <w:tcW w:w="4680" w:type="dxa"/>
            <w:tcBorders>
              <w:top w:val="single" w:color="auto" w:sz="4" w:space="0"/>
              <w:left w:val="single" w:color="auto" w:sz="4" w:space="0"/>
              <w:bottom w:val="single" w:color="auto" w:sz="4" w:space="0"/>
              <w:right w:val="single" w:color="auto" w:sz="4" w:space="0"/>
            </w:tcBorders>
            <w:vAlign w:val="center"/>
          </w:tcPr>
          <w:p w14:paraId="0F45C8AB">
            <w:pPr>
              <w:widowControl/>
              <w:spacing w:before="100" w:beforeAutospacing="1" w:after="100" w:afterAutospacing="1" w:line="360" w:lineRule="auto"/>
              <w:jc w:val="center"/>
              <w:rPr>
                <w:rFonts w:eastAsia="仿宋_GB2312"/>
                <w:sz w:val="18"/>
                <w:szCs w:val="18"/>
              </w:rPr>
            </w:pPr>
            <w:r>
              <w:rPr>
                <w:rFonts w:eastAsia="仿宋_GB2312"/>
                <w:sz w:val="18"/>
                <w:szCs w:val="18"/>
              </w:rPr>
              <w:t>C程序设计语言（The C Programming Language）</w:t>
            </w:r>
          </w:p>
        </w:tc>
        <w:tc>
          <w:tcPr>
            <w:tcW w:w="1980" w:type="dxa"/>
            <w:tcBorders>
              <w:top w:val="single" w:color="auto" w:sz="4" w:space="0"/>
              <w:left w:val="single" w:color="auto" w:sz="4" w:space="0"/>
              <w:bottom w:val="single" w:color="auto" w:sz="4" w:space="0"/>
              <w:right w:val="single" w:color="auto" w:sz="4" w:space="0"/>
            </w:tcBorders>
            <w:vAlign w:val="center"/>
          </w:tcPr>
          <w:p w14:paraId="03300E2F">
            <w:pPr>
              <w:widowControl/>
              <w:spacing w:before="100" w:beforeAutospacing="1" w:after="100" w:afterAutospacing="1"/>
              <w:jc w:val="center"/>
              <w:rPr>
                <w:rFonts w:eastAsia="仿宋_GB2312"/>
                <w:sz w:val="18"/>
                <w:szCs w:val="18"/>
              </w:rPr>
            </w:pPr>
            <w:r>
              <w:rPr>
                <w:rFonts w:eastAsia="仿宋_GB2312"/>
                <w:sz w:val="18"/>
                <w:szCs w:val="18"/>
              </w:rPr>
              <w:t>Prentice Hall（清华大学出版社）</w:t>
            </w:r>
          </w:p>
        </w:tc>
        <w:tc>
          <w:tcPr>
            <w:tcW w:w="1440" w:type="dxa"/>
            <w:tcBorders>
              <w:top w:val="single" w:color="auto" w:sz="4" w:space="0"/>
              <w:left w:val="single" w:color="auto" w:sz="4" w:space="0"/>
              <w:bottom w:val="single" w:color="auto" w:sz="4" w:space="0"/>
              <w:right w:val="single" w:color="auto" w:sz="4" w:space="0"/>
            </w:tcBorders>
            <w:vAlign w:val="center"/>
          </w:tcPr>
          <w:p w14:paraId="659CCE2E">
            <w:pPr>
              <w:widowControl/>
              <w:spacing w:before="100" w:beforeAutospacing="1" w:after="100" w:afterAutospacing="1" w:line="360" w:lineRule="auto"/>
              <w:jc w:val="center"/>
              <w:rPr>
                <w:rFonts w:eastAsia="仿宋_GB2312"/>
                <w:sz w:val="18"/>
                <w:szCs w:val="18"/>
              </w:rPr>
            </w:pPr>
          </w:p>
        </w:tc>
      </w:tr>
      <w:tr w14:paraId="6315D3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1FB576E1">
            <w:pPr>
              <w:widowControl/>
              <w:spacing w:before="100" w:beforeAutospacing="1" w:after="100" w:afterAutospacing="1"/>
              <w:jc w:val="center"/>
              <w:rPr>
                <w:rFonts w:eastAsia="仿宋_GB2312"/>
                <w:sz w:val="18"/>
                <w:szCs w:val="18"/>
              </w:rPr>
            </w:pPr>
            <w:r>
              <w:rPr>
                <w:rFonts w:eastAsia="仿宋_GB2312"/>
                <w:sz w:val="18"/>
                <w:szCs w:val="18"/>
              </w:rPr>
              <w:t>5</w:t>
            </w:r>
          </w:p>
        </w:tc>
        <w:tc>
          <w:tcPr>
            <w:tcW w:w="4680" w:type="dxa"/>
            <w:tcBorders>
              <w:top w:val="single" w:color="auto" w:sz="4" w:space="0"/>
              <w:left w:val="single" w:color="auto" w:sz="4" w:space="0"/>
              <w:bottom w:val="single" w:color="auto" w:sz="4" w:space="0"/>
              <w:right w:val="single" w:color="auto" w:sz="4" w:space="0"/>
            </w:tcBorders>
            <w:vAlign w:val="center"/>
          </w:tcPr>
          <w:p w14:paraId="0F9E616B">
            <w:pPr>
              <w:widowControl/>
              <w:spacing w:before="100" w:beforeAutospacing="1" w:after="100" w:afterAutospacing="1" w:line="360" w:lineRule="auto"/>
              <w:jc w:val="center"/>
              <w:rPr>
                <w:rFonts w:eastAsia="仿宋_GB2312"/>
                <w:sz w:val="18"/>
                <w:szCs w:val="18"/>
              </w:rPr>
            </w:pPr>
            <w:r>
              <w:rPr>
                <w:rFonts w:eastAsia="仿宋_GB2312"/>
                <w:sz w:val="18"/>
                <w:szCs w:val="18"/>
              </w:rPr>
              <w:t>数据结构C++语言描述（Data Structures with C++）</w:t>
            </w:r>
          </w:p>
        </w:tc>
        <w:tc>
          <w:tcPr>
            <w:tcW w:w="1980" w:type="dxa"/>
            <w:tcBorders>
              <w:top w:val="single" w:color="auto" w:sz="4" w:space="0"/>
              <w:left w:val="single" w:color="auto" w:sz="4" w:space="0"/>
              <w:bottom w:val="single" w:color="auto" w:sz="4" w:space="0"/>
              <w:right w:val="single" w:color="auto" w:sz="4" w:space="0"/>
            </w:tcBorders>
            <w:vAlign w:val="center"/>
          </w:tcPr>
          <w:p w14:paraId="4A0C0AE1">
            <w:pPr>
              <w:widowControl/>
              <w:spacing w:before="100" w:beforeAutospacing="1" w:after="100" w:afterAutospacing="1"/>
              <w:jc w:val="center"/>
              <w:rPr>
                <w:rFonts w:eastAsia="仿宋_GB2312"/>
                <w:sz w:val="18"/>
                <w:szCs w:val="18"/>
              </w:rPr>
            </w:pPr>
            <w:r>
              <w:rPr>
                <w:rFonts w:eastAsia="仿宋_GB2312"/>
                <w:sz w:val="18"/>
                <w:szCs w:val="18"/>
              </w:rPr>
              <w:t>Prentice Hall （清华大学出版社）</w:t>
            </w:r>
          </w:p>
        </w:tc>
        <w:tc>
          <w:tcPr>
            <w:tcW w:w="1440" w:type="dxa"/>
            <w:tcBorders>
              <w:top w:val="single" w:color="auto" w:sz="4" w:space="0"/>
              <w:left w:val="single" w:color="auto" w:sz="4" w:space="0"/>
              <w:bottom w:val="single" w:color="auto" w:sz="4" w:space="0"/>
              <w:right w:val="single" w:color="auto" w:sz="4" w:space="0"/>
            </w:tcBorders>
            <w:vAlign w:val="center"/>
          </w:tcPr>
          <w:p w14:paraId="4B0A3EBE">
            <w:pPr>
              <w:widowControl/>
              <w:spacing w:before="100" w:beforeAutospacing="1" w:after="100" w:afterAutospacing="1" w:line="360" w:lineRule="auto"/>
              <w:jc w:val="center"/>
              <w:rPr>
                <w:rFonts w:eastAsia="仿宋_GB2312"/>
                <w:sz w:val="18"/>
                <w:szCs w:val="18"/>
              </w:rPr>
            </w:pPr>
          </w:p>
        </w:tc>
      </w:tr>
      <w:tr w14:paraId="28B228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5752F1C9">
            <w:pPr>
              <w:widowControl/>
              <w:spacing w:before="100" w:beforeAutospacing="1" w:after="100" w:afterAutospacing="1"/>
              <w:jc w:val="center"/>
              <w:rPr>
                <w:rFonts w:eastAsia="仿宋_GB2312"/>
                <w:sz w:val="18"/>
                <w:szCs w:val="18"/>
              </w:rPr>
            </w:pPr>
            <w:r>
              <w:rPr>
                <w:rFonts w:eastAsia="仿宋_GB2312"/>
                <w:sz w:val="18"/>
                <w:szCs w:val="18"/>
              </w:rPr>
              <w:t>6</w:t>
            </w:r>
          </w:p>
        </w:tc>
        <w:tc>
          <w:tcPr>
            <w:tcW w:w="4680" w:type="dxa"/>
            <w:tcBorders>
              <w:top w:val="single" w:color="auto" w:sz="4" w:space="0"/>
              <w:left w:val="single" w:color="auto" w:sz="4" w:space="0"/>
              <w:bottom w:val="single" w:color="auto" w:sz="4" w:space="0"/>
              <w:right w:val="single" w:color="auto" w:sz="4" w:space="0"/>
            </w:tcBorders>
            <w:vAlign w:val="center"/>
          </w:tcPr>
          <w:p w14:paraId="24128BB4">
            <w:pPr>
              <w:widowControl/>
              <w:spacing w:before="100" w:beforeAutospacing="1" w:after="100" w:afterAutospacing="1"/>
              <w:jc w:val="center"/>
              <w:rPr>
                <w:rFonts w:eastAsia="仿宋_GB2312"/>
                <w:sz w:val="18"/>
                <w:szCs w:val="18"/>
              </w:rPr>
            </w:pPr>
            <w:r>
              <w:rPr>
                <w:rFonts w:eastAsia="仿宋_GB2312"/>
                <w:sz w:val="18"/>
                <w:szCs w:val="18"/>
              </w:rPr>
              <w:t>面向对象系统的使用实例图（Use Case Maps for Object-Oriented Systems）</w:t>
            </w:r>
          </w:p>
        </w:tc>
        <w:tc>
          <w:tcPr>
            <w:tcW w:w="1980" w:type="dxa"/>
            <w:tcBorders>
              <w:top w:val="single" w:color="auto" w:sz="4" w:space="0"/>
              <w:left w:val="single" w:color="auto" w:sz="4" w:space="0"/>
              <w:bottom w:val="single" w:color="auto" w:sz="4" w:space="0"/>
              <w:right w:val="single" w:color="auto" w:sz="4" w:space="0"/>
            </w:tcBorders>
            <w:vAlign w:val="center"/>
          </w:tcPr>
          <w:p w14:paraId="76865081">
            <w:pPr>
              <w:widowControl/>
              <w:spacing w:before="100" w:beforeAutospacing="1" w:after="100" w:afterAutospacing="1" w:line="360" w:lineRule="auto"/>
              <w:jc w:val="center"/>
              <w:rPr>
                <w:rFonts w:eastAsia="仿宋_GB2312"/>
                <w:sz w:val="18"/>
                <w:szCs w:val="18"/>
              </w:rPr>
            </w:pPr>
            <w:r>
              <w:rPr>
                <w:rFonts w:eastAsia="仿宋_GB2312"/>
                <w:sz w:val="18"/>
                <w:szCs w:val="18"/>
              </w:rPr>
              <w:t>清华大学出版社</w:t>
            </w:r>
          </w:p>
        </w:tc>
        <w:tc>
          <w:tcPr>
            <w:tcW w:w="1440" w:type="dxa"/>
            <w:tcBorders>
              <w:top w:val="single" w:color="auto" w:sz="4" w:space="0"/>
              <w:left w:val="single" w:color="auto" w:sz="4" w:space="0"/>
              <w:bottom w:val="single" w:color="auto" w:sz="4" w:space="0"/>
              <w:right w:val="single" w:color="auto" w:sz="4" w:space="0"/>
            </w:tcBorders>
            <w:vAlign w:val="center"/>
          </w:tcPr>
          <w:p w14:paraId="19CB5615">
            <w:pPr>
              <w:widowControl/>
              <w:spacing w:before="100" w:beforeAutospacing="1" w:after="100" w:afterAutospacing="1" w:line="360" w:lineRule="auto"/>
              <w:jc w:val="center"/>
              <w:rPr>
                <w:rFonts w:eastAsia="仿宋_GB2312"/>
                <w:sz w:val="18"/>
                <w:szCs w:val="18"/>
              </w:rPr>
            </w:pPr>
          </w:p>
        </w:tc>
      </w:tr>
      <w:tr w14:paraId="20D2DA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55D399F5">
            <w:pPr>
              <w:widowControl/>
              <w:spacing w:before="100" w:beforeAutospacing="1" w:after="100" w:afterAutospacing="1"/>
              <w:jc w:val="center"/>
              <w:rPr>
                <w:rFonts w:eastAsia="仿宋_GB2312"/>
                <w:sz w:val="18"/>
                <w:szCs w:val="18"/>
              </w:rPr>
            </w:pPr>
            <w:r>
              <w:rPr>
                <w:rFonts w:eastAsia="仿宋_GB2312"/>
                <w:sz w:val="18"/>
                <w:szCs w:val="18"/>
              </w:rPr>
              <w:t>7</w:t>
            </w:r>
          </w:p>
        </w:tc>
        <w:tc>
          <w:tcPr>
            <w:tcW w:w="4680" w:type="dxa"/>
            <w:tcBorders>
              <w:top w:val="single" w:color="auto" w:sz="4" w:space="0"/>
              <w:left w:val="single" w:color="auto" w:sz="4" w:space="0"/>
              <w:bottom w:val="single" w:color="auto" w:sz="4" w:space="0"/>
              <w:right w:val="single" w:color="auto" w:sz="4" w:space="0"/>
            </w:tcBorders>
            <w:vAlign w:val="center"/>
          </w:tcPr>
          <w:p w14:paraId="31C63E45">
            <w:pPr>
              <w:widowControl/>
              <w:spacing w:before="100" w:beforeAutospacing="1" w:after="100" w:afterAutospacing="1" w:line="360" w:lineRule="auto"/>
              <w:jc w:val="center"/>
              <w:rPr>
                <w:rFonts w:eastAsia="仿宋_GB2312"/>
                <w:sz w:val="18"/>
                <w:szCs w:val="18"/>
              </w:rPr>
            </w:pPr>
            <w:r>
              <w:rPr>
                <w:rFonts w:eastAsia="仿宋_GB2312"/>
                <w:sz w:val="18"/>
                <w:szCs w:val="18"/>
              </w:rPr>
              <w:t>软件工程（Software Engineering）</w:t>
            </w:r>
          </w:p>
        </w:tc>
        <w:tc>
          <w:tcPr>
            <w:tcW w:w="1980" w:type="dxa"/>
            <w:tcBorders>
              <w:top w:val="single" w:color="auto" w:sz="4" w:space="0"/>
              <w:left w:val="single" w:color="auto" w:sz="4" w:space="0"/>
              <w:bottom w:val="single" w:color="auto" w:sz="4" w:space="0"/>
              <w:right w:val="single" w:color="auto" w:sz="4" w:space="0"/>
            </w:tcBorders>
            <w:vAlign w:val="center"/>
          </w:tcPr>
          <w:p w14:paraId="1D4FB6FC">
            <w:pPr>
              <w:widowControl/>
              <w:spacing w:before="100" w:beforeAutospacing="1" w:after="100" w:afterAutospacing="1" w:line="360" w:lineRule="auto"/>
              <w:jc w:val="center"/>
              <w:rPr>
                <w:rFonts w:eastAsia="仿宋_GB2312"/>
                <w:sz w:val="18"/>
                <w:szCs w:val="18"/>
              </w:rPr>
            </w:pPr>
            <w:r>
              <w:rPr>
                <w:rFonts w:eastAsia="仿宋_GB2312"/>
                <w:sz w:val="18"/>
                <w:szCs w:val="18"/>
              </w:rPr>
              <w:t>杨文龙等</w:t>
            </w:r>
          </w:p>
        </w:tc>
        <w:tc>
          <w:tcPr>
            <w:tcW w:w="1440" w:type="dxa"/>
            <w:tcBorders>
              <w:top w:val="single" w:color="auto" w:sz="4" w:space="0"/>
              <w:left w:val="single" w:color="auto" w:sz="4" w:space="0"/>
              <w:bottom w:val="single" w:color="auto" w:sz="4" w:space="0"/>
              <w:right w:val="single" w:color="auto" w:sz="4" w:space="0"/>
            </w:tcBorders>
            <w:vAlign w:val="center"/>
          </w:tcPr>
          <w:p w14:paraId="162B93D4">
            <w:pPr>
              <w:widowControl/>
              <w:spacing w:before="100" w:beforeAutospacing="1" w:after="100" w:afterAutospacing="1" w:line="360" w:lineRule="auto"/>
              <w:jc w:val="center"/>
              <w:rPr>
                <w:rFonts w:eastAsia="仿宋_GB2312"/>
                <w:sz w:val="18"/>
                <w:szCs w:val="18"/>
              </w:rPr>
            </w:pPr>
          </w:p>
        </w:tc>
      </w:tr>
      <w:tr w14:paraId="41FB73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54255E55">
            <w:pPr>
              <w:widowControl/>
              <w:spacing w:before="100" w:beforeAutospacing="1" w:after="100" w:afterAutospacing="1"/>
              <w:jc w:val="center"/>
              <w:rPr>
                <w:rFonts w:eastAsia="仿宋_GB2312"/>
                <w:sz w:val="18"/>
                <w:szCs w:val="18"/>
              </w:rPr>
            </w:pPr>
            <w:r>
              <w:rPr>
                <w:rFonts w:eastAsia="仿宋_GB2312"/>
                <w:sz w:val="18"/>
                <w:szCs w:val="18"/>
              </w:rPr>
              <w:t>8</w:t>
            </w:r>
          </w:p>
        </w:tc>
        <w:tc>
          <w:tcPr>
            <w:tcW w:w="4680" w:type="dxa"/>
            <w:tcBorders>
              <w:top w:val="single" w:color="auto" w:sz="4" w:space="0"/>
              <w:left w:val="single" w:color="auto" w:sz="4" w:space="0"/>
              <w:bottom w:val="single" w:color="auto" w:sz="4" w:space="0"/>
              <w:right w:val="single" w:color="auto" w:sz="4" w:space="0"/>
            </w:tcBorders>
            <w:vAlign w:val="center"/>
          </w:tcPr>
          <w:p w14:paraId="38A0D179">
            <w:pPr>
              <w:widowControl/>
              <w:spacing w:before="100" w:beforeAutospacing="1" w:after="100" w:afterAutospacing="1"/>
              <w:jc w:val="center"/>
              <w:rPr>
                <w:rFonts w:eastAsia="仿宋_GB2312"/>
                <w:sz w:val="18"/>
                <w:szCs w:val="18"/>
              </w:rPr>
            </w:pPr>
            <w:r>
              <w:rPr>
                <w:rFonts w:eastAsia="仿宋_GB2312"/>
                <w:sz w:val="18"/>
                <w:szCs w:val="18"/>
              </w:rPr>
              <w:t>数值分析引论（An Introduction to Numerical Analysis）</w:t>
            </w:r>
          </w:p>
        </w:tc>
        <w:tc>
          <w:tcPr>
            <w:tcW w:w="1980" w:type="dxa"/>
            <w:tcBorders>
              <w:top w:val="single" w:color="auto" w:sz="4" w:space="0"/>
              <w:left w:val="single" w:color="auto" w:sz="4" w:space="0"/>
              <w:bottom w:val="single" w:color="auto" w:sz="4" w:space="0"/>
              <w:right w:val="single" w:color="auto" w:sz="4" w:space="0"/>
            </w:tcBorders>
            <w:vAlign w:val="center"/>
          </w:tcPr>
          <w:p w14:paraId="0C90ECB2">
            <w:pPr>
              <w:widowControl/>
              <w:spacing w:before="100" w:beforeAutospacing="1" w:after="100" w:afterAutospacing="1" w:line="360" w:lineRule="auto"/>
              <w:jc w:val="center"/>
              <w:rPr>
                <w:rFonts w:eastAsia="仿宋_GB2312"/>
                <w:sz w:val="18"/>
                <w:szCs w:val="18"/>
              </w:rPr>
            </w:pPr>
            <w:r>
              <w:rPr>
                <w:rFonts w:eastAsia="仿宋_GB2312"/>
                <w:sz w:val="18"/>
                <w:szCs w:val="18"/>
              </w:rPr>
              <w:t>K.E. 阿特金森</w:t>
            </w:r>
          </w:p>
        </w:tc>
        <w:tc>
          <w:tcPr>
            <w:tcW w:w="1440" w:type="dxa"/>
            <w:tcBorders>
              <w:top w:val="single" w:color="auto" w:sz="4" w:space="0"/>
              <w:left w:val="single" w:color="auto" w:sz="4" w:space="0"/>
              <w:bottom w:val="single" w:color="auto" w:sz="4" w:space="0"/>
              <w:right w:val="single" w:color="auto" w:sz="4" w:space="0"/>
            </w:tcBorders>
            <w:vAlign w:val="center"/>
          </w:tcPr>
          <w:p w14:paraId="2ED5250F">
            <w:pPr>
              <w:widowControl/>
              <w:spacing w:before="100" w:beforeAutospacing="1" w:after="100" w:afterAutospacing="1" w:line="360" w:lineRule="auto"/>
              <w:jc w:val="center"/>
              <w:rPr>
                <w:rFonts w:eastAsia="仿宋_GB2312"/>
                <w:sz w:val="18"/>
                <w:szCs w:val="18"/>
              </w:rPr>
            </w:pPr>
          </w:p>
        </w:tc>
      </w:tr>
      <w:tr w14:paraId="6AD95A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66857220">
            <w:pPr>
              <w:widowControl/>
              <w:spacing w:before="100" w:beforeAutospacing="1" w:after="100" w:afterAutospacing="1"/>
              <w:jc w:val="center"/>
              <w:rPr>
                <w:rFonts w:eastAsia="仿宋_GB2312"/>
                <w:sz w:val="18"/>
                <w:szCs w:val="18"/>
              </w:rPr>
            </w:pPr>
            <w:r>
              <w:rPr>
                <w:rFonts w:eastAsia="仿宋_GB2312"/>
                <w:sz w:val="18"/>
                <w:szCs w:val="18"/>
              </w:rPr>
              <w:t>9</w:t>
            </w:r>
          </w:p>
        </w:tc>
        <w:tc>
          <w:tcPr>
            <w:tcW w:w="4680" w:type="dxa"/>
            <w:tcBorders>
              <w:top w:val="single" w:color="auto" w:sz="4" w:space="0"/>
              <w:left w:val="single" w:color="auto" w:sz="4" w:space="0"/>
              <w:bottom w:val="single" w:color="auto" w:sz="4" w:space="0"/>
              <w:right w:val="single" w:color="auto" w:sz="4" w:space="0"/>
            </w:tcBorders>
            <w:vAlign w:val="center"/>
          </w:tcPr>
          <w:p w14:paraId="2878306F">
            <w:pPr>
              <w:widowControl/>
              <w:spacing w:before="100" w:beforeAutospacing="1" w:after="100" w:afterAutospacing="1" w:line="360" w:lineRule="auto"/>
              <w:jc w:val="center"/>
              <w:rPr>
                <w:rFonts w:eastAsia="仿宋_GB2312"/>
                <w:sz w:val="18"/>
                <w:szCs w:val="18"/>
              </w:rPr>
            </w:pPr>
            <w:r>
              <w:rPr>
                <w:rFonts w:eastAsia="仿宋_GB2312"/>
                <w:sz w:val="18"/>
                <w:szCs w:val="18"/>
              </w:rPr>
              <w:t>数值分析 （Numerical Analysis）</w:t>
            </w:r>
          </w:p>
        </w:tc>
        <w:tc>
          <w:tcPr>
            <w:tcW w:w="1980" w:type="dxa"/>
            <w:tcBorders>
              <w:top w:val="single" w:color="auto" w:sz="4" w:space="0"/>
              <w:left w:val="single" w:color="auto" w:sz="4" w:space="0"/>
              <w:bottom w:val="single" w:color="auto" w:sz="4" w:space="0"/>
              <w:right w:val="single" w:color="auto" w:sz="4" w:space="0"/>
            </w:tcBorders>
            <w:vAlign w:val="center"/>
          </w:tcPr>
          <w:p w14:paraId="25E6E100">
            <w:pPr>
              <w:widowControl/>
              <w:spacing w:before="100" w:beforeAutospacing="1" w:after="100" w:afterAutospacing="1" w:line="360" w:lineRule="auto"/>
              <w:jc w:val="center"/>
              <w:rPr>
                <w:rFonts w:eastAsia="仿宋_GB2312"/>
                <w:sz w:val="18"/>
                <w:szCs w:val="18"/>
              </w:rPr>
            </w:pPr>
            <w:r>
              <w:rPr>
                <w:rFonts w:eastAsia="仿宋_GB2312"/>
                <w:sz w:val="18"/>
                <w:szCs w:val="18"/>
              </w:rPr>
              <w:t>颜庆津</w:t>
            </w:r>
          </w:p>
        </w:tc>
        <w:tc>
          <w:tcPr>
            <w:tcW w:w="1440" w:type="dxa"/>
            <w:tcBorders>
              <w:top w:val="single" w:color="auto" w:sz="4" w:space="0"/>
              <w:left w:val="single" w:color="auto" w:sz="4" w:space="0"/>
              <w:bottom w:val="single" w:color="auto" w:sz="4" w:space="0"/>
              <w:right w:val="single" w:color="auto" w:sz="4" w:space="0"/>
            </w:tcBorders>
            <w:vAlign w:val="center"/>
          </w:tcPr>
          <w:p w14:paraId="25528C33">
            <w:pPr>
              <w:widowControl/>
              <w:spacing w:before="100" w:beforeAutospacing="1" w:after="100" w:afterAutospacing="1" w:line="360" w:lineRule="auto"/>
              <w:jc w:val="center"/>
              <w:rPr>
                <w:rFonts w:eastAsia="仿宋_GB2312"/>
                <w:sz w:val="18"/>
                <w:szCs w:val="18"/>
              </w:rPr>
            </w:pPr>
          </w:p>
        </w:tc>
      </w:tr>
      <w:tr w14:paraId="5AEF2D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2F63FA36">
            <w:pPr>
              <w:widowControl/>
              <w:spacing w:before="100" w:beforeAutospacing="1" w:after="100" w:afterAutospacing="1"/>
              <w:jc w:val="center"/>
              <w:rPr>
                <w:rFonts w:eastAsia="仿宋_GB2312"/>
                <w:sz w:val="18"/>
                <w:szCs w:val="18"/>
              </w:rPr>
            </w:pPr>
            <w:r>
              <w:rPr>
                <w:rFonts w:eastAsia="仿宋_GB2312"/>
                <w:sz w:val="18"/>
                <w:szCs w:val="18"/>
              </w:rPr>
              <w:t>10</w:t>
            </w:r>
          </w:p>
        </w:tc>
        <w:tc>
          <w:tcPr>
            <w:tcW w:w="4680" w:type="dxa"/>
            <w:tcBorders>
              <w:top w:val="single" w:color="auto" w:sz="4" w:space="0"/>
              <w:left w:val="single" w:color="auto" w:sz="4" w:space="0"/>
              <w:bottom w:val="single" w:color="auto" w:sz="4" w:space="0"/>
              <w:right w:val="single" w:color="auto" w:sz="4" w:space="0"/>
            </w:tcBorders>
            <w:vAlign w:val="center"/>
          </w:tcPr>
          <w:p w14:paraId="2982A915">
            <w:pPr>
              <w:widowControl/>
              <w:spacing w:before="100" w:beforeAutospacing="1" w:after="100" w:afterAutospacing="1"/>
              <w:jc w:val="center"/>
              <w:rPr>
                <w:rFonts w:eastAsia="仿宋_GB2312"/>
                <w:sz w:val="18"/>
                <w:szCs w:val="18"/>
              </w:rPr>
            </w:pPr>
            <w:r>
              <w:rPr>
                <w:rFonts w:eastAsia="仿宋_GB2312"/>
                <w:sz w:val="18"/>
                <w:szCs w:val="18"/>
              </w:rPr>
              <w:t>矩阵计算引论 （An Introduction to Matrix Computation）</w:t>
            </w:r>
          </w:p>
        </w:tc>
        <w:tc>
          <w:tcPr>
            <w:tcW w:w="1980" w:type="dxa"/>
            <w:tcBorders>
              <w:top w:val="single" w:color="auto" w:sz="4" w:space="0"/>
              <w:left w:val="single" w:color="auto" w:sz="4" w:space="0"/>
              <w:bottom w:val="single" w:color="auto" w:sz="4" w:space="0"/>
              <w:right w:val="single" w:color="auto" w:sz="4" w:space="0"/>
            </w:tcBorders>
            <w:vAlign w:val="center"/>
          </w:tcPr>
          <w:p w14:paraId="149D5EB4">
            <w:pPr>
              <w:widowControl/>
              <w:spacing w:before="100" w:beforeAutospacing="1" w:after="100" w:afterAutospacing="1" w:line="360" w:lineRule="auto"/>
              <w:jc w:val="center"/>
              <w:rPr>
                <w:rFonts w:eastAsia="仿宋_GB2312"/>
                <w:sz w:val="18"/>
                <w:szCs w:val="18"/>
              </w:rPr>
            </w:pPr>
            <w:r>
              <w:rPr>
                <w:rFonts w:eastAsia="仿宋_GB2312"/>
                <w:sz w:val="18"/>
                <w:szCs w:val="18"/>
              </w:rPr>
              <w:t>G.W. 斯图尔特</w:t>
            </w:r>
          </w:p>
        </w:tc>
        <w:tc>
          <w:tcPr>
            <w:tcW w:w="1440" w:type="dxa"/>
            <w:tcBorders>
              <w:top w:val="single" w:color="auto" w:sz="4" w:space="0"/>
              <w:left w:val="single" w:color="auto" w:sz="4" w:space="0"/>
              <w:bottom w:val="single" w:color="auto" w:sz="4" w:space="0"/>
              <w:right w:val="single" w:color="auto" w:sz="4" w:space="0"/>
            </w:tcBorders>
            <w:vAlign w:val="center"/>
          </w:tcPr>
          <w:p w14:paraId="7446CB39">
            <w:pPr>
              <w:widowControl/>
              <w:spacing w:before="100" w:beforeAutospacing="1" w:after="100" w:afterAutospacing="1" w:line="360" w:lineRule="auto"/>
              <w:jc w:val="center"/>
              <w:rPr>
                <w:rFonts w:eastAsia="仿宋_GB2312"/>
                <w:sz w:val="18"/>
                <w:szCs w:val="18"/>
              </w:rPr>
            </w:pPr>
          </w:p>
        </w:tc>
      </w:tr>
      <w:tr w14:paraId="7D2370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24B1D255">
            <w:pPr>
              <w:widowControl/>
              <w:spacing w:before="100" w:beforeAutospacing="1" w:after="100" w:afterAutospacing="1"/>
              <w:jc w:val="center"/>
              <w:rPr>
                <w:rFonts w:eastAsia="仿宋_GB2312"/>
                <w:sz w:val="18"/>
                <w:szCs w:val="18"/>
              </w:rPr>
            </w:pPr>
            <w:r>
              <w:rPr>
                <w:rFonts w:eastAsia="仿宋_GB2312"/>
                <w:sz w:val="18"/>
                <w:szCs w:val="18"/>
              </w:rPr>
              <w:t>11</w:t>
            </w:r>
          </w:p>
        </w:tc>
        <w:tc>
          <w:tcPr>
            <w:tcW w:w="4680" w:type="dxa"/>
            <w:tcBorders>
              <w:top w:val="single" w:color="auto" w:sz="4" w:space="0"/>
              <w:left w:val="single" w:color="auto" w:sz="4" w:space="0"/>
              <w:bottom w:val="single" w:color="auto" w:sz="4" w:space="0"/>
              <w:right w:val="single" w:color="auto" w:sz="4" w:space="0"/>
            </w:tcBorders>
            <w:vAlign w:val="center"/>
          </w:tcPr>
          <w:p w14:paraId="54DED541">
            <w:pPr>
              <w:widowControl/>
              <w:spacing w:before="100" w:beforeAutospacing="1" w:after="100" w:afterAutospacing="1" w:line="360" w:lineRule="auto"/>
              <w:jc w:val="center"/>
              <w:rPr>
                <w:rFonts w:eastAsia="仿宋_GB2312"/>
                <w:sz w:val="18"/>
                <w:szCs w:val="18"/>
              </w:rPr>
            </w:pPr>
            <w:r>
              <w:rPr>
                <w:rFonts w:eastAsia="仿宋_GB2312"/>
                <w:sz w:val="18"/>
                <w:szCs w:val="18"/>
              </w:rPr>
              <w:t>Matrix Analysis （矩阵分析）</w:t>
            </w:r>
          </w:p>
        </w:tc>
        <w:tc>
          <w:tcPr>
            <w:tcW w:w="1980" w:type="dxa"/>
            <w:tcBorders>
              <w:top w:val="single" w:color="auto" w:sz="4" w:space="0"/>
              <w:left w:val="single" w:color="auto" w:sz="4" w:space="0"/>
              <w:bottom w:val="single" w:color="auto" w:sz="4" w:space="0"/>
              <w:right w:val="single" w:color="auto" w:sz="4" w:space="0"/>
            </w:tcBorders>
            <w:vAlign w:val="center"/>
          </w:tcPr>
          <w:p w14:paraId="03A7F84E">
            <w:pPr>
              <w:widowControl/>
              <w:spacing w:before="100" w:beforeAutospacing="1" w:after="100" w:afterAutospacing="1"/>
              <w:jc w:val="center"/>
              <w:rPr>
                <w:rFonts w:eastAsia="仿宋_GB2312"/>
                <w:sz w:val="18"/>
                <w:szCs w:val="18"/>
              </w:rPr>
            </w:pPr>
            <w:r>
              <w:rPr>
                <w:rFonts w:eastAsia="仿宋_GB2312"/>
                <w:sz w:val="18"/>
                <w:szCs w:val="18"/>
              </w:rPr>
              <w:t>R.A. Horn, C.R. Fohnson</w:t>
            </w:r>
          </w:p>
        </w:tc>
        <w:tc>
          <w:tcPr>
            <w:tcW w:w="1440" w:type="dxa"/>
            <w:tcBorders>
              <w:top w:val="single" w:color="auto" w:sz="4" w:space="0"/>
              <w:left w:val="single" w:color="auto" w:sz="4" w:space="0"/>
              <w:bottom w:val="single" w:color="auto" w:sz="4" w:space="0"/>
              <w:right w:val="single" w:color="auto" w:sz="4" w:space="0"/>
            </w:tcBorders>
            <w:vAlign w:val="center"/>
          </w:tcPr>
          <w:p w14:paraId="5DED8C12">
            <w:pPr>
              <w:widowControl/>
              <w:spacing w:before="100" w:beforeAutospacing="1" w:after="100" w:afterAutospacing="1" w:line="360" w:lineRule="auto"/>
              <w:jc w:val="center"/>
              <w:rPr>
                <w:rFonts w:eastAsia="仿宋_GB2312"/>
                <w:sz w:val="18"/>
                <w:szCs w:val="18"/>
              </w:rPr>
            </w:pPr>
          </w:p>
        </w:tc>
      </w:tr>
      <w:tr w14:paraId="3ADCA1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53931576">
            <w:pPr>
              <w:widowControl/>
              <w:spacing w:before="100" w:beforeAutospacing="1" w:after="100" w:afterAutospacing="1"/>
              <w:jc w:val="center"/>
              <w:rPr>
                <w:rFonts w:eastAsia="仿宋_GB2312"/>
                <w:sz w:val="18"/>
                <w:szCs w:val="18"/>
              </w:rPr>
            </w:pPr>
            <w:r>
              <w:rPr>
                <w:rFonts w:eastAsia="仿宋_GB2312"/>
                <w:sz w:val="18"/>
                <w:szCs w:val="18"/>
              </w:rPr>
              <w:t>12</w:t>
            </w:r>
          </w:p>
        </w:tc>
        <w:tc>
          <w:tcPr>
            <w:tcW w:w="4680" w:type="dxa"/>
            <w:tcBorders>
              <w:top w:val="single" w:color="auto" w:sz="4" w:space="0"/>
              <w:left w:val="single" w:color="auto" w:sz="4" w:space="0"/>
              <w:bottom w:val="single" w:color="auto" w:sz="4" w:space="0"/>
              <w:right w:val="single" w:color="auto" w:sz="4" w:space="0"/>
            </w:tcBorders>
            <w:vAlign w:val="center"/>
          </w:tcPr>
          <w:p w14:paraId="4CAB22D0">
            <w:pPr>
              <w:widowControl/>
              <w:spacing w:before="100" w:beforeAutospacing="1" w:after="100" w:afterAutospacing="1" w:line="360" w:lineRule="auto"/>
              <w:jc w:val="center"/>
              <w:rPr>
                <w:rFonts w:eastAsia="仿宋_GB2312"/>
                <w:sz w:val="18"/>
                <w:szCs w:val="18"/>
              </w:rPr>
            </w:pPr>
            <w:r>
              <w:rPr>
                <w:rFonts w:eastAsia="仿宋_GB2312"/>
                <w:sz w:val="18"/>
                <w:szCs w:val="18"/>
              </w:rPr>
              <w:t>Matrix Computation （矩阵计算）</w:t>
            </w:r>
          </w:p>
        </w:tc>
        <w:tc>
          <w:tcPr>
            <w:tcW w:w="1980" w:type="dxa"/>
            <w:tcBorders>
              <w:top w:val="single" w:color="auto" w:sz="4" w:space="0"/>
              <w:left w:val="single" w:color="auto" w:sz="4" w:space="0"/>
              <w:bottom w:val="single" w:color="auto" w:sz="4" w:space="0"/>
              <w:right w:val="single" w:color="auto" w:sz="4" w:space="0"/>
            </w:tcBorders>
            <w:vAlign w:val="center"/>
          </w:tcPr>
          <w:p w14:paraId="5C636253">
            <w:pPr>
              <w:widowControl/>
              <w:spacing w:before="100" w:beforeAutospacing="1" w:after="100" w:afterAutospacing="1"/>
              <w:jc w:val="center"/>
              <w:rPr>
                <w:rFonts w:eastAsia="仿宋_GB2312"/>
                <w:sz w:val="18"/>
                <w:szCs w:val="18"/>
              </w:rPr>
            </w:pPr>
            <w:r>
              <w:rPr>
                <w:rFonts w:eastAsia="仿宋_GB2312"/>
                <w:sz w:val="18"/>
                <w:szCs w:val="18"/>
              </w:rPr>
              <w:t>G.H. Golub, C.F. Van Loan</w:t>
            </w:r>
          </w:p>
        </w:tc>
        <w:tc>
          <w:tcPr>
            <w:tcW w:w="1440" w:type="dxa"/>
            <w:tcBorders>
              <w:top w:val="single" w:color="auto" w:sz="4" w:space="0"/>
              <w:left w:val="single" w:color="auto" w:sz="4" w:space="0"/>
              <w:bottom w:val="single" w:color="auto" w:sz="4" w:space="0"/>
              <w:right w:val="single" w:color="auto" w:sz="4" w:space="0"/>
            </w:tcBorders>
            <w:vAlign w:val="center"/>
          </w:tcPr>
          <w:p w14:paraId="6BBFDF0B">
            <w:pPr>
              <w:widowControl/>
              <w:spacing w:before="100" w:beforeAutospacing="1" w:after="100" w:afterAutospacing="1" w:line="360" w:lineRule="auto"/>
              <w:jc w:val="center"/>
              <w:rPr>
                <w:rFonts w:eastAsia="仿宋_GB2312"/>
                <w:sz w:val="18"/>
                <w:szCs w:val="18"/>
              </w:rPr>
            </w:pPr>
          </w:p>
        </w:tc>
      </w:tr>
      <w:tr w14:paraId="3A6B21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3D2BC885">
            <w:pPr>
              <w:widowControl/>
              <w:spacing w:before="100" w:beforeAutospacing="1" w:after="100" w:afterAutospacing="1"/>
              <w:jc w:val="center"/>
              <w:rPr>
                <w:rFonts w:eastAsia="仿宋_GB2312"/>
                <w:sz w:val="18"/>
                <w:szCs w:val="18"/>
              </w:rPr>
            </w:pPr>
            <w:r>
              <w:rPr>
                <w:rFonts w:eastAsia="仿宋_GB2312"/>
                <w:sz w:val="18"/>
                <w:szCs w:val="18"/>
              </w:rPr>
              <w:t>13</w:t>
            </w:r>
          </w:p>
        </w:tc>
        <w:tc>
          <w:tcPr>
            <w:tcW w:w="4680" w:type="dxa"/>
            <w:tcBorders>
              <w:top w:val="single" w:color="auto" w:sz="4" w:space="0"/>
              <w:left w:val="single" w:color="auto" w:sz="4" w:space="0"/>
              <w:bottom w:val="single" w:color="auto" w:sz="4" w:space="0"/>
              <w:right w:val="single" w:color="auto" w:sz="4" w:space="0"/>
            </w:tcBorders>
            <w:vAlign w:val="center"/>
          </w:tcPr>
          <w:p w14:paraId="53B8722D">
            <w:pPr>
              <w:widowControl/>
              <w:spacing w:before="100" w:beforeAutospacing="1" w:after="100" w:afterAutospacing="1"/>
              <w:jc w:val="center"/>
              <w:rPr>
                <w:rFonts w:eastAsia="仿宋_GB2312"/>
                <w:sz w:val="18"/>
                <w:szCs w:val="18"/>
              </w:rPr>
            </w:pPr>
            <w:r>
              <w:rPr>
                <w:rFonts w:eastAsia="仿宋_GB2312"/>
                <w:sz w:val="18"/>
                <w:szCs w:val="18"/>
              </w:rPr>
              <w:t>Computer Graphics, C Version 2nd Ed （计算机图形学（C语言版），第二版）</w:t>
            </w:r>
          </w:p>
        </w:tc>
        <w:tc>
          <w:tcPr>
            <w:tcW w:w="1980" w:type="dxa"/>
            <w:tcBorders>
              <w:top w:val="single" w:color="auto" w:sz="4" w:space="0"/>
              <w:left w:val="single" w:color="auto" w:sz="4" w:space="0"/>
              <w:bottom w:val="single" w:color="auto" w:sz="4" w:space="0"/>
              <w:right w:val="single" w:color="auto" w:sz="4" w:space="0"/>
            </w:tcBorders>
            <w:vAlign w:val="center"/>
          </w:tcPr>
          <w:p w14:paraId="66011CB6">
            <w:pPr>
              <w:widowControl/>
              <w:spacing w:before="100" w:beforeAutospacing="1" w:after="100" w:afterAutospacing="1" w:line="360" w:lineRule="auto"/>
              <w:jc w:val="center"/>
              <w:rPr>
                <w:rFonts w:eastAsia="仿宋_GB2312"/>
                <w:sz w:val="18"/>
                <w:szCs w:val="18"/>
              </w:rPr>
            </w:pPr>
            <w:r>
              <w:rPr>
                <w:rFonts w:eastAsia="仿宋_GB2312"/>
                <w:sz w:val="18"/>
                <w:szCs w:val="18"/>
              </w:rPr>
              <w:t>清华大学出版社</w:t>
            </w:r>
          </w:p>
        </w:tc>
        <w:tc>
          <w:tcPr>
            <w:tcW w:w="1440" w:type="dxa"/>
            <w:tcBorders>
              <w:top w:val="single" w:color="auto" w:sz="4" w:space="0"/>
              <w:left w:val="single" w:color="auto" w:sz="4" w:space="0"/>
              <w:bottom w:val="single" w:color="auto" w:sz="4" w:space="0"/>
              <w:right w:val="single" w:color="auto" w:sz="4" w:space="0"/>
            </w:tcBorders>
            <w:vAlign w:val="center"/>
          </w:tcPr>
          <w:p w14:paraId="53B74F54">
            <w:pPr>
              <w:widowControl/>
              <w:spacing w:before="100" w:beforeAutospacing="1" w:after="100" w:afterAutospacing="1" w:line="360" w:lineRule="auto"/>
              <w:jc w:val="center"/>
              <w:rPr>
                <w:rFonts w:eastAsia="仿宋_GB2312"/>
                <w:sz w:val="18"/>
                <w:szCs w:val="18"/>
              </w:rPr>
            </w:pPr>
          </w:p>
        </w:tc>
      </w:tr>
      <w:tr w14:paraId="1B5F4A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3AFEAE51">
            <w:pPr>
              <w:widowControl/>
              <w:spacing w:before="100" w:beforeAutospacing="1" w:after="100" w:afterAutospacing="1"/>
              <w:jc w:val="center"/>
              <w:rPr>
                <w:rFonts w:eastAsia="仿宋_GB2312"/>
                <w:sz w:val="18"/>
                <w:szCs w:val="18"/>
              </w:rPr>
            </w:pPr>
            <w:r>
              <w:rPr>
                <w:rFonts w:eastAsia="仿宋_GB2312"/>
                <w:sz w:val="18"/>
                <w:szCs w:val="18"/>
              </w:rPr>
              <w:t>14</w:t>
            </w:r>
          </w:p>
        </w:tc>
        <w:tc>
          <w:tcPr>
            <w:tcW w:w="4680" w:type="dxa"/>
            <w:tcBorders>
              <w:top w:val="single" w:color="auto" w:sz="4" w:space="0"/>
              <w:left w:val="single" w:color="auto" w:sz="4" w:space="0"/>
              <w:bottom w:val="single" w:color="auto" w:sz="4" w:space="0"/>
              <w:right w:val="single" w:color="auto" w:sz="4" w:space="0"/>
            </w:tcBorders>
            <w:vAlign w:val="center"/>
          </w:tcPr>
          <w:p w14:paraId="57723882">
            <w:pPr>
              <w:widowControl/>
              <w:spacing w:before="100" w:beforeAutospacing="1" w:after="100" w:afterAutospacing="1"/>
              <w:jc w:val="center"/>
              <w:rPr>
                <w:rFonts w:eastAsia="仿宋_GB2312"/>
                <w:sz w:val="18"/>
                <w:szCs w:val="18"/>
              </w:rPr>
            </w:pPr>
            <w:r>
              <w:rPr>
                <w:rFonts w:eastAsia="仿宋_GB2312"/>
                <w:sz w:val="18"/>
                <w:szCs w:val="18"/>
              </w:rPr>
              <w:t>Computer Networks, 3 rd ED（计算机网络，第三版）</w:t>
            </w:r>
          </w:p>
        </w:tc>
        <w:tc>
          <w:tcPr>
            <w:tcW w:w="1980" w:type="dxa"/>
            <w:tcBorders>
              <w:top w:val="single" w:color="auto" w:sz="4" w:space="0"/>
              <w:left w:val="single" w:color="auto" w:sz="4" w:space="0"/>
              <w:bottom w:val="single" w:color="auto" w:sz="4" w:space="0"/>
              <w:right w:val="single" w:color="auto" w:sz="4" w:space="0"/>
            </w:tcBorders>
            <w:vAlign w:val="center"/>
          </w:tcPr>
          <w:p w14:paraId="53EEC052">
            <w:pPr>
              <w:widowControl/>
              <w:spacing w:before="100" w:beforeAutospacing="1" w:after="100" w:afterAutospacing="1" w:line="360" w:lineRule="auto"/>
              <w:jc w:val="center"/>
              <w:rPr>
                <w:rFonts w:eastAsia="仿宋_GB2312"/>
                <w:sz w:val="18"/>
                <w:szCs w:val="18"/>
              </w:rPr>
            </w:pPr>
            <w:r>
              <w:rPr>
                <w:rFonts w:eastAsia="仿宋_GB2312"/>
                <w:sz w:val="18"/>
                <w:szCs w:val="18"/>
              </w:rPr>
              <w:t>清华大学出版社</w:t>
            </w:r>
          </w:p>
        </w:tc>
        <w:tc>
          <w:tcPr>
            <w:tcW w:w="1440" w:type="dxa"/>
            <w:tcBorders>
              <w:top w:val="single" w:color="auto" w:sz="4" w:space="0"/>
              <w:left w:val="single" w:color="auto" w:sz="4" w:space="0"/>
              <w:bottom w:val="single" w:color="auto" w:sz="4" w:space="0"/>
              <w:right w:val="single" w:color="auto" w:sz="4" w:space="0"/>
            </w:tcBorders>
            <w:vAlign w:val="center"/>
          </w:tcPr>
          <w:p w14:paraId="0954F59D">
            <w:pPr>
              <w:widowControl/>
              <w:spacing w:before="100" w:beforeAutospacing="1" w:after="100" w:afterAutospacing="1" w:line="360" w:lineRule="auto"/>
              <w:jc w:val="center"/>
              <w:rPr>
                <w:rFonts w:eastAsia="仿宋_GB2312"/>
                <w:sz w:val="18"/>
                <w:szCs w:val="18"/>
              </w:rPr>
            </w:pPr>
          </w:p>
        </w:tc>
      </w:tr>
      <w:tr w14:paraId="002938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31AB690B">
            <w:pPr>
              <w:widowControl/>
              <w:spacing w:before="100" w:beforeAutospacing="1" w:after="100" w:afterAutospacing="1"/>
              <w:jc w:val="center"/>
              <w:rPr>
                <w:rFonts w:eastAsia="仿宋_GB2312"/>
                <w:sz w:val="18"/>
                <w:szCs w:val="18"/>
              </w:rPr>
            </w:pPr>
            <w:r>
              <w:rPr>
                <w:rFonts w:eastAsia="仿宋_GB2312"/>
                <w:sz w:val="18"/>
                <w:szCs w:val="18"/>
              </w:rPr>
              <w:t>15</w:t>
            </w:r>
          </w:p>
        </w:tc>
        <w:tc>
          <w:tcPr>
            <w:tcW w:w="4680" w:type="dxa"/>
            <w:tcBorders>
              <w:top w:val="single" w:color="auto" w:sz="4" w:space="0"/>
              <w:left w:val="single" w:color="auto" w:sz="4" w:space="0"/>
              <w:bottom w:val="single" w:color="auto" w:sz="4" w:space="0"/>
              <w:right w:val="single" w:color="auto" w:sz="4" w:space="0"/>
            </w:tcBorders>
            <w:vAlign w:val="center"/>
          </w:tcPr>
          <w:p w14:paraId="17E9A669">
            <w:pPr>
              <w:widowControl/>
              <w:spacing w:before="100" w:beforeAutospacing="1" w:after="100" w:afterAutospacing="1"/>
              <w:jc w:val="center"/>
              <w:rPr>
                <w:rFonts w:eastAsia="仿宋_GB2312"/>
                <w:sz w:val="18"/>
                <w:szCs w:val="18"/>
              </w:rPr>
            </w:pPr>
            <w:r>
              <w:rPr>
                <w:rFonts w:eastAsia="仿宋_GB2312"/>
                <w:sz w:val="18"/>
                <w:szCs w:val="18"/>
              </w:rPr>
              <w:t>Multimedia: Computing, Communications &amp; Applications （多媒体技术：计算、通信及应用）</w:t>
            </w:r>
          </w:p>
        </w:tc>
        <w:tc>
          <w:tcPr>
            <w:tcW w:w="1980" w:type="dxa"/>
            <w:tcBorders>
              <w:top w:val="single" w:color="auto" w:sz="4" w:space="0"/>
              <w:left w:val="single" w:color="auto" w:sz="4" w:space="0"/>
              <w:bottom w:val="single" w:color="auto" w:sz="4" w:space="0"/>
              <w:right w:val="single" w:color="auto" w:sz="4" w:space="0"/>
            </w:tcBorders>
            <w:vAlign w:val="center"/>
          </w:tcPr>
          <w:p w14:paraId="79A1D4B2">
            <w:pPr>
              <w:widowControl/>
              <w:spacing w:before="100" w:beforeAutospacing="1" w:after="100" w:afterAutospacing="1"/>
              <w:ind w:firstLine="180" w:firstLineChars="100"/>
              <w:jc w:val="center"/>
              <w:rPr>
                <w:rFonts w:eastAsia="仿宋_GB2312"/>
                <w:sz w:val="18"/>
                <w:szCs w:val="18"/>
              </w:rPr>
            </w:pPr>
            <w:r>
              <w:rPr>
                <w:rFonts w:eastAsia="仿宋_GB2312"/>
                <w:sz w:val="18"/>
                <w:szCs w:val="18"/>
              </w:rPr>
              <w:t>Prentice Hall（清华大学出版社）</w:t>
            </w:r>
          </w:p>
        </w:tc>
        <w:tc>
          <w:tcPr>
            <w:tcW w:w="1440" w:type="dxa"/>
            <w:tcBorders>
              <w:top w:val="single" w:color="auto" w:sz="4" w:space="0"/>
              <w:left w:val="single" w:color="auto" w:sz="4" w:space="0"/>
              <w:bottom w:val="single" w:color="auto" w:sz="4" w:space="0"/>
              <w:right w:val="single" w:color="auto" w:sz="4" w:space="0"/>
            </w:tcBorders>
            <w:vAlign w:val="center"/>
          </w:tcPr>
          <w:p w14:paraId="5069A69A">
            <w:pPr>
              <w:widowControl/>
              <w:spacing w:before="100" w:beforeAutospacing="1" w:after="100" w:afterAutospacing="1" w:line="360" w:lineRule="auto"/>
              <w:jc w:val="center"/>
              <w:rPr>
                <w:rFonts w:eastAsia="仿宋_GB2312"/>
                <w:sz w:val="18"/>
                <w:szCs w:val="18"/>
              </w:rPr>
            </w:pPr>
          </w:p>
        </w:tc>
      </w:tr>
      <w:tr w14:paraId="18B0C9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485D65E6">
            <w:pPr>
              <w:widowControl/>
              <w:spacing w:before="100" w:beforeAutospacing="1" w:after="100" w:afterAutospacing="1"/>
              <w:jc w:val="center"/>
              <w:rPr>
                <w:rFonts w:eastAsia="仿宋_GB2312"/>
                <w:sz w:val="18"/>
                <w:szCs w:val="18"/>
              </w:rPr>
            </w:pPr>
            <w:r>
              <w:rPr>
                <w:rFonts w:eastAsia="仿宋_GB2312"/>
                <w:sz w:val="18"/>
                <w:szCs w:val="18"/>
              </w:rPr>
              <w:t>16</w:t>
            </w:r>
          </w:p>
        </w:tc>
        <w:tc>
          <w:tcPr>
            <w:tcW w:w="4680" w:type="dxa"/>
            <w:tcBorders>
              <w:top w:val="single" w:color="auto" w:sz="4" w:space="0"/>
              <w:left w:val="single" w:color="auto" w:sz="4" w:space="0"/>
              <w:bottom w:val="single" w:color="auto" w:sz="4" w:space="0"/>
              <w:right w:val="single" w:color="auto" w:sz="4" w:space="0"/>
            </w:tcBorders>
            <w:vAlign w:val="center"/>
          </w:tcPr>
          <w:p w14:paraId="421B07F1">
            <w:pPr>
              <w:widowControl/>
              <w:spacing w:before="100" w:beforeAutospacing="1" w:after="100" w:afterAutospacing="1" w:line="360" w:lineRule="auto"/>
              <w:jc w:val="center"/>
              <w:rPr>
                <w:rFonts w:eastAsia="仿宋_GB2312"/>
                <w:sz w:val="18"/>
                <w:szCs w:val="18"/>
              </w:rPr>
            </w:pPr>
            <w:r>
              <w:rPr>
                <w:rFonts w:eastAsia="仿宋_GB2312"/>
                <w:sz w:val="18"/>
                <w:szCs w:val="18"/>
              </w:rPr>
              <w:t>中国科学（Science in China）</w:t>
            </w:r>
          </w:p>
        </w:tc>
        <w:tc>
          <w:tcPr>
            <w:tcW w:w="1980" w:type="dxa"/>
            <w:tcBorders>
              <w:top w:val="single" w:color="auto" w:sz="4" w:space="0"/>
              <w:left w:val="single" w:color="auto" w:sz="4" w:space="0"/>
              <w:bottom w:val="single" w:color="auto" w:sz="4" w:space="0"/>
              <w:right w:val="single" w:color="auto" w:sz="4" w:space="0"/>
            </w:tcBorders>
            <w:vAlign w:val="center"/>
          </w:tcPr>
          <w:p w14:paraId="220C732E">
            <w:pPr>
              <w:widowControl/>
              <w:spacing w:before="100" w:beforeAutospacing="1" w:after="100" w:afterAutospacing="1" w:line="360" w:lineRule="auto"/>
              <w:jc w:val="center"/>
              <w:rPr>
                <w:rFonts w:eastAsia="仿宋_GB2312"/>
                <w:sz w:val="18"/>
                <w:szCs w:val="18"/>
              </w:rPr>
            </w:pPr>
          </w:p>
        </w:tc>
        <w:tc>
          <w:tcPr>
            <w:tcW w:w="1440" w:type="dxa"/>
            <w:tcBorders>
              <w:top w:val="single" w:color="auto" w:sz="4" w:space="0"/>
              <w:left w:val="single" w:color="auto" w:sz="4" w:space="0"/>
              <w:bottom w:val="single" w:color="auto" w:sz="4" w:space="0"/>
              <w:right w:val="single" w:color="auto" w:sz="4" w:space="0"/>
            </w:tcBorders>
            <w:vAlign w:val="center"/>
          </w:tcPr>
          <w:p w14:paraId="52AB8241">
            <w:pPr>
              <w:widowControl/>
              <w:spacing w:before="100" w:beforeAutospacing="1" w:after="100" w:afterAutospacing="1" w:line="360" w:lineRule="auto"/>
              <w:jc w:val="center"/>
              <w:rPr>
                <w:rFonts w:eastAsia="仿宋_GB2312"/>
                <w:sz w:val="18"/>
                <w:szCs w:val="18"/>
              </w:rPr>
            </w:pPr>
          </w:p>
        </w:tc>
      </w:tr>
      <w:tr w14:paraId="31C59C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51324E64">
            <w:pPr>
              <w:widowControl/>
              <w:spacing w:before="100" w:beforeAutospacing="1" w:after="100" w:afterAutospacing="1"/>
              <w:jc w:val="center"/>
              <w:rPr>
                <w:rFonts w:eastAsia="仿宋_GB2312"/>
                <w:sz w:val="18"/>
                <w:szCs w:val="18"/>
              </w:rPr>
            </w:pPr>
            <w:r>
              <w:rPr>
                <w:rFonts w:eastAsia="仿宋_GB2312"/>
                <w:sz w:val="18"/>
                <w:szCs w:val="18"/>
              </w:rPr>
              <w:t>17</w:t>
            </w:r>
          </w:p>
        </w:tc>
        <w:tc>
          <w:tcPr>
            <w:tcW w:w="4680" w:type="dxa"/>
            <w:tcBorders>
              <w:top w:val="single" w:color="auto" w:sz="4" w:space="0"/>
              <w:left w:val="single" w:color="auto" w:sz="4" w:space="0"/>
              <w:bottom w:val="single" w:color="auto" w:sz="4" w:space="0"/>
              <w:right w:val="single" w:color="auto" w:sz="4" w:space="0"/>
            </w:tcBorders>
            <w:vAlign w:val="center"/>
          </w:tcPr>
          <w:p w14:paraId="11F6366F">
            <w:pPr>
              <w:widowControl/>
              <w:spacing w:before="100" w:beforeAutospacing="1" w:after="100" w:afterAutospacing="1" w:line="360" w:lineRule="auto"/>
              <w:jc w:val="center"/>
              <w:rPr>
                <w:rFonts w:eastAsia="仿宋_GB2312"/>
                <w:sz w:val="18"/>
                <w:szCs w:val="18"/>
              </w:rPr>
            </w:pPr>
            <w:r>
              <w:rPr>
                <w:rFonts w:eastAsia="仿宋_GB2312"/>
                <w:sz w:val="18"/>
                <w:szCs w:val="18"/>
              </w:rPr>
              <w:t>计算数学（Journal of Computational Mathematics）</w:t>
            </w:r>
          </w:p>
        </w:tc>
        <w:tc>
          <w:tcPr>
            <w:tcW w:w="1980" w:type="dxa"/>
            <w:tcBorders>
              <w:top w:val="single" w:color="auto" w:sz="4" w:space="0"/>
              <w:left w:val="single" w:color="auto" w:sz="4" w:space="0"/>
              <w:bottom w:val="single" w:color="auto" w:sz="4" w:space="0"/>
              <w:right w:val="single" w:color="auto" w:sz="4" w:space="0"/>
            </w:tcBorders>
            <w:vAlign w:val="center"/>
          </w:tcPr>
          <w:p w14:paraId="2D930D94">
            <w:pPr>
              <w:widowControl/>
              <w:spacing w:before="100" w:beforeAutospacing="1" w:after="100" w:afterAutospacing="1" w:line="360" w:lineRule="auto"/>
              <w:jc w:val="center"/>
              <w:rPr>
                <w:rFonts w:eastAsia="仿宋_GB2312"/>
                <w:sz w:val="18"/>
                <w:szCs w:val="18"/>
              </w:rPr>
            </w:pPr>
          </w:p>
        </w:tc>
        <w:tc>
          <w:tcPr>
            <w:tcW w:w="1440" w:type="dxa"/>
            <w:tcBorders>
              <w:top w:val="single" w:color="auto" w:sz="4" w:space="0"/>
              <w:left w:val="single" w:color="auto" w:sz="4" w:space="0"/>
              <w:bottom w:val="single" w:color="auto" w:sz="4" w:space="0"/>
              <w:right w:val="single" w:color="auto" w:sz="4" w:space="0"/>
            </w:tcBorders>
            <w:vAlign w:val="center"/>
          </w:tcPr>
          <w:p w14:paraId="7D7CA4A7">
            <w:pPr>
              <w:widowControl/>
              <w:spacing w:before="100" w:beforeAutospacing="1" w:after="100" w:afterAutospacing="1" w:line="360" w:lineRule="auto"/>
              <w:jc w:val="center"/>
              <w:rPr>
                <w:rFonts w:eastAsia="仿宋_GB2312"/>
                <w:sz w:val="18"/>
                <w:szCs w:val="18"/>
              </w:rPr>
            </w:pPr>
          </w:p>
        </w:tc>
      </w:tr>
      <w:tr w14:paraId="0F6E85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0506EC6F">
            <w:pPr>
              <w:widowControl/>
              <w:spacing w:before="100" w:beforeAutospacing="1" w:after="100" w:afterAutospacing="1"/>
              <w:jc w:val="center"/>
              <w:rPr>
                <w:rFonts w:eastAsia="仿宋_GB2312"/>
                <w:sz w:val="18"/>
                <w:szCs w:val="18"/>
              </w:rPr>
            </w:pPr>
            <w:r>
              <w:rPr>
                <w:rFonts w:eastAsia="仿宋_GB2312"/>
                <w:sz w:val="18"/>
                <w:szCs w:val="18"/>
              </w:rPr>
              <w:t>18</w:t>
            </w:r>
          </w:p>
        </w:tc>
        <w:tc>
          <w:tcPr>
            <w:tcW w:w="4680" w:type="dxa"/>
            <w:tcBorders>
              <w:top w:val="single" w:color="auto" w:sz="4" w:space="0"/>
              <w:left w:val="single" w:color="auto" w:sz="4" w:space="0"/>
              <w:bottom w:val="single" w:color="auto" w:sz="4" w:space="0"/>
              <w:right w:val="single" w:color="auto" w:sz="4" w:space="0"/>
            </w:tcBorders>
            <w:vAlign w:val="center"/>
          </w:tcPr>
          <w:p w14:paraId="75A91ADD">
            <w:pPr>
              <w:widowControl/>
              <w:spacing w:before="100" w:beforeAutospacing="1" w:after="100" w:afterAutospacing="1"/>
              <w:jc w:val="center"/>
              <w:rPr>
                <w:rFonts w:eastAsia="仿宋_GB2312"/>
                <w:sz w:val="18"/>
                <w:szCs w:val="18"/>
              </w:rPr>
            </w:pPr>
            <w:r>
              <w:rPr>
                <w:rFonts w:eastAsia="仿宋_GB2312"/>
                <w:sz w:val="18"/>
                <w:szCs w:val="18"/>
              </w:rPr>
              <w:t>数值计算与计算机应用（Journal on Numerical Methods and Computer Applications）</w:t>
            </w:r>
          </w:p>
        </w:tc>
        <w:tc>
          <w:tcPr>
            <w:tcW w:w="1980" w:type="dxa"/>
            <w:tcBorders>
              <w:top w:val="single" w:color="auto" w:sz="4" w:space="0"/>
              <w:left w:val="single" w:color="auto" w:sz="4" w:space="0"/>
              <w:bottom w:val="single" w:color="auto" w:sz="4" w:space="0"/>
              <w:right w:val="single" w:color="auto" w:sz="4" w:space="0"/>
            </w:tcBorders>
            <w:vAlign w:val="center"/>
          </w:tcPr>
          <w:p w14:paraId="7378877E">
            <w:pPr>
              <w:widowControl/>
              <w:spacing w:before="100" w:beforeAutospacing="1" w:after="100" w:afterAutospacing="1" w:line="360" w:lineRule="auto"/>
              <w:jc w:val="center"/>
              <w:rPr>
                <w:rFonts w:eastAsia="仿宋_GB2312"/>
                <w:sz w:val="18"/>
                <w:szCs w:val="18"/>
              </w:rPr>
            </w:pPr>
          </w:p>
        </w:tc>
        <w:tc>
          <w:tcPr>
            <w:tcW w:w="1440" w:type="dxa"/>
            <w:tcBorders>
              <w:top w:val="single" w:color="auto" w:sz="4" w:space="0"/>
              <w:left w:val="single" w:color="auto" w:sz="4" w:space="0"/>
              <w:bottom w:val="single" w:color="auto" w:sz="4" w:space="0"/>
              <w:right w:val="single" w:color="auto" w:sz="4" w:space="0"/>
            </w:tcBorders>
            <w:vAlign w:val="center"/>
          </w:tcPr>
          <w:p w14:paraId="71F2ECAC">
            <w:pPr>
              <w:widowControl/>
              <w:spacing w:before="100" w:beforeAutospacing="1" w:after="100" w:afterAutospacing="1" w:line="360" w:lineRule="auto"/>
              <w:jc w:val="center"/>
              <w:rPr>
                <w:rFonts w:eastAsia="仿宋_GB2312"/>
                <w:sz w:val="18"/>
                <w:szCs w:val="18"/>
              </w:rPr>
            </w:pPr>
          </w:p>
        </w:tc>
      </w:tr>
      <w:tr w14:paraId="65AD66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1DF4678C">
            <w:pPr>
              <w:widowControl/>
              <w:spacing w:before="100" w:beforeAutospacing="1" w:after="100" w:afterAutospacing="1"/>
              <w:jc w:val="center"/>
              <w:rPr>
                <w:rFonts w:eastAsia="仿宋_GB2312"/>
                <w:sz w:val="18"/>
                <w:szCs w:val="18"/>
              </w:rPr>
            </w:pPr>
            <w:r>
              <w:rPr>
                <w:rFonts w:eastAsia="仿宋_GB2312"/>
                <w:sz w:val="18"/>
                <w:szCs w:val="18"/>
              </w:rPr>
              <w:t>19</w:t>
            </w:r>
          </w:p>
        </w:tc>
        <w:tc>
          <w:tcPr>
            <w:tcW w:w="4680" w:type="dxa"/>
            <w:tcBorders>
              <w:top w:val="single" w:color="auto" w:sz="4" w:space="0"/>
              <w:left w:val="single" w:color="auto" w:sz="4" w:space="0"/>
              <w:bottom w:val="single" w:color="auto" w:sz="4" w:space="0"/>
              <w:right w:val="single" w:color="auto" w:sz="4" w:space="0"/>
            </w:tcBorders>
            <w:vAlign w:val="center"/>
          </w:tcPr>
          <w:p w14:paraId="4435356F">
            <w:pPr>
              <w:widowControl/>
              <w:spacing w:before="100" w:beforeAutospacing="1" w:after="100" w:afterAutospacing="1" w:line="360" w:lineRule="auto"/>
              <w:jc w:val="center"/>
              <w:rPr>
                <w:rFonts w:eastAsia="仿宋_GB2312"/>
                <w:sz w:val="18"/>
                <w:szCs w:val="18"/>
              </w:rPr>
            </w:pPr>
            <w:r>
              <w:rPr>
                <w:rFonts w:eastAsia="仿宋_GB2312"/>
                <w:sz w:val="18"/>
                <w:szCs w:val="18"/>
              </w:rPr>
              <w:t>Computer Math. Appl.（计算机数学应用）</w:t>
            </w:r>
          </w:p>
        </w:tc>
        <w:tc>
          <w:tcPr>
            <w:tcW w:w="1980" w:type="dxa"/>
            <w:tcBorders>
              <w:top w:val="single" w:color="auto" w:sz="4" w:space="0"/>
              <w:left w:val="single" w:color="auto" w:sz="4" w:space="0"/>
              <w:bottom w:val="single" w:color="auto" w:sz="4" w:space="0"/>
              <w:right w:val="single" w:color="auto" w:sz="4" w:space="0"/>
            </w:tcBorders>
            <w:vAlign w:val="center"/>
          </w:tcPr>
          <w:p w14:paraId="484FB96B">
            <w:pPr>
              <w:widowControl/>
              <w:spacing w:before="100" w:beforeAutospacing="1" w:after="100" w:afterAutospacing="1" w:line="360" w:lineRule="auto"/>
              <w:jc w:val="center"/>
              <w:rPr>
                <w:rFonts w:eastAsia="仿宋_GB2312"/>
                <w:sz w:val="18"/>
                <w:szCs w:val="18"/>
              </w:rPr>
            </w:pPr>
          </w:p>
        </w:tc>
        <w:tc>
          <w:tcPr>
            <w:tcW w:w="1440" w:type="dxa"/>
            <w:tcBorders>
              <w:top w:val="single" w:color="auto" w:sz="4" w:space="0"/>
              <w:left w:val="single" w:color="auto" w:sz="4" w:space="0"/>
              <w:bottom w:val="single" w:color="auto" w:sz="4" w:space="0"/>
              <w:right w:val="single" w:color="auto" w:sz="4" w:space="0"/>
            </w:tcBorders>
            <w:vAlign w:val="center"/>
          </w:tcPr>
          <w:p w14:paraId="35890C66">
            <w:pPr>
              <w:widowControl/>
              <w:spacing w:before="100" w:beforeAutospacing="1" w:after="100" w:afterAutospacing="1" w:line="360" w:lineRule="auto"/>
              <w:jc w:val="center"/>
              <w:rPr>
                <w:rFonts w:eastAsia="仿宋_GB2312"/>
                <w:sz w:val="18"/>
                <w:szCs w:val="18"/>
              </w:rPr>
            </w:pPr>
          </w:p>
        </w:tc>
      </w:tr>
      <w:tr w14:paraId="09CAE1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483B1348">
            <w:pPr>
              <w:widowControl/>
              <w:spacing w:before="100" w:beforeAutospacing="1" w:after="100" w:afterAutospacing="1"/>
              <w:jc w:val="center"/>
              <w:rPr>
                <w:rFonts w:eastAsia="仿宋_GB2312"/>
                <w:sz w:val="18"/>
                <w:szCs w:val="18"/>
              </w:rPr>
            </w:pPr>
            <w:r>
              <w:rPr>
                <w:rFonts w:eastAsia="仿宋_GB2312"/>
                <w:sz w:val="18"/>
                <w:szCs w:val="18"/>
              </w:rPr>
              <w:t>20</w:t>
            </w:r>
          </w:p>
        </w:tc>
        <w:tc>
          <w:tcPr>
            <w:tcW w:w="4680" w:type="dxa"/>
            <w:tcBorders>
              <w:top w:val="single" w:color="auto" w:sz="4" w:space="0"/>
              <w:left w:val="single" w:color="auto" w:sz="4" w:space="0"/>
              <w:bottom w:val="single" w:color="auto" w:sz="4" w:space="0"/>
              <w:right w:val="single" w:color="auto" w:sz="4" w:space="0"/>
            </w:tcBorders>
            <w:vAlign w:val="center"/>
          </w:tcPr>
          <w:p w14:paraId="1D5F938A">
            <w:pPr>
              <w:widowControl/>
              <w:spacing w:before="100" w:beforeAutospacing="1" w:after="100" w:afterAutospacing="1" w:line="360" w:lineRule="auto"/>
              <w:jc w:val="center"/>
              <w:rPr>
                <w:rFonts w:eastAsia="仿宋_GB2312"/>
                <w:sz w:val="18"/>
                <w:szCs w:val="18"/>
              </w:rPr>
            </w:pPr>
            <w:r>
              <w:rPr>
                <w:rFonts w:eastAsia="仿宋_GB2312"/>
                <w:sz w:val="18"/>
                <w:szCs w:val="18"/>
              </w:rPr>
              <w:t>SIAM J. Numer. Anal. （SIAM数值分析）</w:t>
            </w:r>
          </w:p>
        </w:tc>
        <w:tc>
          <w:tcPr>
            <w:tcW w:w="1980" w:type="dxa"/>
            <w:tcBorders>
              <w:top w:val="single" w:color="auto" w:sz="4" w:space="0"/>
              <w:left w:val="single" w:color="auto" w:sz="4" w:space="0"/>
              <w:bottom w:val="single" w:color="auto" w:sz="4" w:space="0"/>
              <w:right w:val="single" w:color="auto" w:sz="4" w:space="0"/>
            </w:tcBorders>
            <w:vAlign w:val="center"/>
          </w:tcPr>
          <w:p w14:paraId="76ABDB90">
            <w:pPr>
              <w:widowControl/>
              <w:spacing w:before="100" w:beforeAutospacing="1" w:after="100" w:afterAutospacing="1" w:line="360" w:lineRule="auto"/>
              <w:jc w:val="center"/>
              <w:rPr>
                <w:rFonts w:eastAsia="仿宋_GB2312"/>
                <w:sz w:val="18"/>
                <w:szCs w:val="18"/>
              </w:rPr>
            </w:pPr>
          </w:p>
        </w:tc>
        <w:tc>
          <w:tcPr>
            <w:tcW w:w="1440" w:type="dxa"/>
            <w:tcBorders>
              <w:top w:val="single" w:color="auto" w:sz="4" w:space="0"/>
              <w:left w:val="single" w:color="auto" w:sz="4" w:space="0"/>
              <w:bottom w:val="single" w:color="auto" w:sz="4" w:space="0"/>
              <w:right w:val="single" w:color="auto" w:sz="4" w:space="0"/>
            </w:tcBorders>
            <w:vAlign w:val="center"/>
          </w:tcPr>
          <w:p w14:paraId="3A1319A0">
            <w:pPr>
              <w:widowControl/>
              <w:spacing w:before="100" w:beforeAutospacing="1" w:after="100" w:afterAutospacing="1" w:line="360" w:lineRule="auto"/>
              <w:jc w:val="center"/>
              <w:rPr>
                <w:rFonts w:eastAsia="仿宋_GB2312"/>
                <w:sz w:val="18"/>
                <w:szCs w:val="18"/>
              </w:rPr>
            </w:pPr>
          </w:p>
        </w:tc>
      </w:tr>
      <w:tr w14:paraId="59D3EE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474429D1">
            <w:pPr>
              <w:widowControl/>
              <w:spacing w:before="100" w:beforeAutospacing="1" w:after="100" w:afterAutospacing="1"/>
              <w:jc w:val="center"/>
              <w:rPr>
                <w:rFonts w:eastAsia="仿宋_GB2312"/>
                <w:sz w:val="18"/>
                <w:szCs w:val="18"/>
              </w:rPr>
            </w:pPr>
            <w:r>
              <w:rPr>
                <w:rFonts w:eastAsia="仿宋_GB2312"/>
                <w:sz w:val="18"/>
                <w:szCs w:val="18"/>
              </w:rPr>
              <w:t>21</w:t>
            </w:r>
          </w:p>
        </w:tc>
        <w:tc>
          <w:tcPr>
            <w:tcW w:w="4680" w:type="dxa"/>
            <w:tcBorders>
              <w:top w:val="single" w:color="auto" w:sz="4" w:space="0"/>
              <w:left w:val="single" w:color="auto" w:sz="4" w:space="0"/>
              <w:bottom w:val="single" w:color="auto" w:sz="4" w:space="0"/>
              <w:right w:val="single" w:color="auto" w:sz="4" w:space="0"/>
            </w:tcBorders>
            <w:vAlign w:val="center"/>
          </w:tcPr>
          <w:p w14:paraId="1D051C4E">
            <w:pPr>
              <w:widowControl/>
              <w:spacing w:before="100" w:beforeAutospacing="1" w:after="100" w:afterAutospacing="1" w:line="360" w:lineRule="auto"/>
              <w:jc w:val="center"/>
              <w:rPr>
                <w:rFonts w:eastAsia="仿宋_GB2312"/>
                <w:sz w:val="18"/>
                <w:szCs w:val="18"/>
              </w:rPr>
            </w:pPr>
            <w:r>
              <w:rPr>
                <w:rFonts w:eastAsia="仿宋_GB2312"/>
                <w:sz w:val="18"/>
                <w:szCs w:val="18"/>
              </w:rPr>
              <w:t>SIAM J. Scientific Computing （SIAM科学计算）</w:t>
            </w:r>
          </w:p>
        </w:tc>
        <w:tc>
          <w:tcPr>
            <w:tcW w:w="1980" w:type="dxa"/>
            <w:tcBorders>
              <w:top w:val="single" w:color="auto" w:sz="4" w:space="0"/>
              <w:left w:val="single" w:color="auto" w:sz="4" w:space="0"/>
              <w:bottom w:val="single" w:color="auto" w:sz="4" w:space="0"/>
              <w:right w:val="single" w:color="auto" w:sz="4" w:space="0"/>
            </w:tcBorders>
            <w:vAlign w:val="center"/>
          </w:tcPr>
          <w:p w14:paraId="681BACF5">
            <w:pPr>
              <w:widowControl/>
              <w:spacing w:before="100" w:beforeAutospacing="1" w:after="100" w:afterAutospacing="1" w:line="360" w:lineRule="auto"/>
              <w:jc w:val="center"/>
              <w:rPr>
                <w:rFonts w:eastAsia="仿宋_GB2312"/>
                <w:sz w:val="18"/>
                <w:szCs w:val="18"/>
              </w:rPr>
            </w:pPr>
          </w:p>
        </w:tc>
        <w:tc>
          <w:tcPr>
            <w:tcW w:w="1440" w:type="dxa"/>
            <w:tcBorders>
              <w:top w:val="single" w:color="auto" w:sz="4" w:space="0"/>
              <w:left w:val="single" w:color="auto" w:sz="4" w:space="0"/>
              <w:bottom w:val="single" w:color="auto" w:sz="4" w:space="0"/>
              <w:right w:val="single" w:color="auto" w:sz="4" w:space="0"/>
            </w:tcBorders>
            <w:vAlign w:val="center"/>
          </w:tcPr>
          <w:p w14:paraId="08C71DEE">
            <w:pPr>
              <w:widowControl/>
              <w:spacing w:before="100" w:beforeAutospacing="1" w:after="100" w:afterAutospacing="1" w:line="360" w:lineRule="auto"/>
              <w:jc w:val="center"/>
              <w:rPr>
                <w:rFonts w:eastAsia="仿宋_GB2312"/>
                <w:sz w:val="18"/>
                <w:szCs w:val="18"/>
              </w:rPr>
            </w:pPr>
          </w:p>
        </w:tc>
      </w:tr>
      <w:tr w14:paraId="2C65EC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3277698A">
            <w:pPr>
              <w:widowControl/>
              <w:spacing w:before="100" w:beforeAutospacing="1" w:after="100" w:afterAutospacing="1"/>
              <w:jc w:val="center"/>
              <w:rPr>
                <w:rFonts w:eastAsia="仿宋_GB2312"/>
                <w:sz w:val="18"/>
                <w:szCs w:val="18"/>
              </w:rPr>
            </w:pPr>
            <w:r>
              <w:rPr>
                <w:rFonts w:hint="eastAsia" w:eastAsia="仿宋_GB2312"/>
                <w:sz w:val="18"/>
                <w:szCs w:val="18"/>
              </w:rPr>
              <w:t>22</w:t>
            </w:r>
          </w:p>
        </w:tc>
        <w:tc>
          <w:tcPr>
            <w:tcW w:w="4680" w:type="dxa"/>
            <w:tcBorders>
              <w:top w:val="single" w:color="auto" w:sz="4" w:space="0"/>
              <w:left w:val="single" w:color="auto" w:sz="4" w:space="0"/>
              <w:bottom w:val="single" w:color="auto" w:sz="4" w:space="0"/>
              <w:right w:val="single" w:color="auto" w:sz="4" w:space="0"/>
            </w:tcBorders>
            <w:vAlign w:val="center"/>
          </w:tcPr>
          <w:p w14:paraId="2A18AA0D">
            <w:pPr>
              <w:widowControl/>
              <w:spacing w:before="100" w:beforeAutospacing="1" w:after="100" w:afterAutospacing="1" w:line="360" w:lineRule="auto"/>
              <w:jc w:val="center"/>
              <w:rPr>
                <w:rFonts w:eastAsia="仿宋_GB2312"/>
                <w:sz w:val="18"/>
                <w:szCs w:val="18"/>
              </w:rPr>
            </w:pPr>
            <w:r>
              <w:rPr>
                <w:rFonts w:hint="eastAsia" w:eastAsia="仿宋_GB2312"/>
                <w:sz w:val="18"/>
                <w:szCs w:val="18"/>
              </w:rPr>
              <w:t>M</w:t>
            </w:r>
            <w:r>
              <w:rPr>
                <w:rFonts w:eastAsia="仿宋_GB2312"/>
                <w:sz w:val="18"/>
                <w:szCs w:val="18"/>
              </w:rPr>
              <w:t>atrix Computations</w:t>
            </w:r>
          </w:p>
        </w:tc>
        <w:tc>
          <w:tcPr>
            <w:tcW w:w="1980" w:type="dxa"/>
            <w:tcBorders>
              <w:top w:val="single" w:color="auto" w:sz="4" w:space="0"/>
              <w:left w:val="single" w:color="auto" w:sz="4" w:space="0"/>
              <w:bottom w:val="single" w:color="auto" w:sz="4" w:space="0"/>
              <w:right w:val="single" w:color="auto" w:sz="4" w:space="0"/>
            </w:tcBorders>
            <w:vAlign w:val="center"/>
          </w:tcPr>
          <w:p w14:paraId="0F40832D">
            <w:pPr>
              <w:widowControl/>
              <w:spacing w:before="100" w:beforeAutospacing="1" w:after="100" w:afterAutospacing="1" w:line="360" w:lineRule="auto"/>
              <w:jc w:val="center"/>
              <w:rPr>
                <w:rFonts w:eastAsia="仿宋_GB2312"/>
                <w:sz w:val="18"/>
                <w:szCs w:val="18"/>
              </w:rPr>
            </w:pPr>
            <w:r>
              <w:rPr>
                <w:rFonts w:hint="eastAsia" w:eastAsia="仿宋_GB2312"/>
                <w:sz w:val="18"/>
                <w:szCs w:val="18"/>
              </w:rPr>
              <w:t>G</w:t>
            </w:r>
            <w:r>
              <w:rPr>
                <w:rFonts w:eastAsia="仿宋_GB2312"/>
                <w:sz w:val="18"/>
                <w:szCs w:val="18"/>
              </w:rPr>
              <w:t>. H. Golub</w:t>
            </w:r>
          </w:p>
        </w:tc>
        <w:tc>
          <w:tcPr>
            <w:tcW w:w="1440" w:type="dxa"/>
            <w:tcBorders>
              <w:top w:val="single" w:color="auto" w:sz="4" w:space="0"/>
              <w:left w:val="single" w:color="auto" w:sz="4" w:space="0"/>
              <w:bottom w:val="single" w:color="auto" w:sz="4" w:space="0"/>
              <w:right w:val="single" w:color="auto" w:sz="4" w:space="0"/>
            </w:tcBorders>
            <w:vAlign w:val="center"/>
          </w:tcPr>
          <w:p w14:paraId="38F50FA5">
            <w:pPr>
              <w:widowControl/>
              <w:spacing w:before="100" w:beforeAutospacing="1" w:after="100" w:afterAutospacing="1" w:line="360" w:lineRule="auto"/>
              <w:jc w:val="center"/>
              <w:rPr>
                <w:rFonts w:eastAsia="仿宋_GB2312"/>
                <w:sz w:val="18"/>
                <w:szCs w:val="18"/>
              </w:rPr>
            </w:pPr>
          </w:p>
        </w:tc>
      </w:tr>
      <w:tr w14:paraId="4CEBA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5D30E597">
            <w:pPr>
              <w:widowControl/>
              <w:spacing w:before="100" w:beforeAutospacing="1" w:after="100" w:afterAutospacing="1"/>
              <w:jc w:val="center"/>
              <w:rPr>
                <w:rFonts w:eastAsia="仿宋_GB2312"/>
                <w:sz w:val="18"/>
                <w:szCs w:val="18"/>
              </w:rPr>
            </w:pPr>
            <w:r>
              <w:rPr>
                <w:rFonts w:hint="eastAsia" w:eastAsia="仿宋_GB2312"/>
                <w:sz w:val="18"/>
                <w:szCs w:val="18"/>
              </w:rPr>
              <w:t>23</w:t>
            </w:r>
          </w:p>
        </w:tc>
        <w:tc>
          <w:tcPr>
            <w:tcW w:w="4680" w:type="dxa"/>
            <w:tcBorders>
              <w:top w:val="single" w:color="auto" w:sz="4" w:space="0"/>
              <w:left w:val="single" w:color="auto" w:sz="4" w:space="0"/>
              <w:bottom w:val="single" w:color="auto" w:sz="4" w:space="0"/>
              <w:right w:val="single" w:color="auto" w:sz="4" w:space="0"/>
            </w:tcBorders>
            <w:vAlign w:val="center"/>
          </w:tcPr>
          <w:p w14:paraId="37E4C22C">
            <w:pPr>
              <w:widowControl/>
              <w:spacing w:before="100" w:beforeAutospacing="1" w:after="100" w:afterAutospacing="1" w:line="360" w:lineRule="auto"/>
              <w:jc w:val="center"/>
              <w:rPr>
                <w:rFonts w:eastAsia="仿宋_GB2312"/>
                <w:sz w:val="18"/>
                <w:szCs w:val="18"/>
              </w:rPr>
            </w:pPr>
            <w:r>
              <w:rPr>
                <w:rFonts w:hint="eastAsia" w:eastAsia="仿宋_GB2312"/>
                <w:sz w:val="18"/>
                <w:szCs w:val="18"/>
              </w:rPr>
              <w:t>矩阵计算的理论及方法</w:t>
            </w:r>
          </w:p>
        </w:tc>
        <w:tc>
          <w:tcPr>
            <w:tcW w:w="1980" w:type="dxa"/>
            <w:tcBorders>
              <w:top w:val="single" w:color="auto" w:sz="4" w:space="0"/>
              <w:left w:val="single" w:color="auto" w:sz="4" w:space="0"/>
              <w:bottom w:val="single" w:color="auto" w:sz="4" w:space="0"/>
              <w:right w:val="single" w:color="auto" w:sz="4" w:space="0"/>
            </w:tcBorders>
            <w:vAlign w:val="center"/>
          </w:tcPr>
          <w:p w14:paraId="5DF9F689">
            <w:pPr>
              <w:widowControl/>
              <w:spacing w:before="100" w:beforeAutospacing="1" w:after="100" w:afterAutospacing="1" w:line="360" w:lineRule="auto"/>
              <w:jc w:val="center"/>
              <w:rPr>
                <w:rFonts w:eastAsia="仿宋_GB2312"/>
                <w:sz w:val="18"/>
                <w:szCs w:val="18"/>
              </w:rPr>
            </w:pPr>
            <w:r>
              <w:rPr>
                <w:rFonts w:hint="eastAsia" w:eastAsia="仿宋_GB2312"/>
                <w:sz w:val="18"/>
                <w:szCs w:val="18"/>
              </w:rPr>
              <w:t>徐树方</w:t>
            </w:r>
          </w:p>
        </w:tc>
        <w:tc>
          <w:tcPr>
            <w:tcW w:w="1440" w:type="dxa"/>
            <w:tcBorders>
              <w:top w:val="single" w:color="auto" w:sz="4" w:space="0"/>
              <w:left w:val="single" w:color="auto" w:sz="4" w:space="0"/>
              <w:bottom w:val="single" w:color="auto" w:sz="4" w:space="0"/>
              <w:right w:val="single" w:color="auto" w:sz="4" w:space="0"/>
            </w:tcBorders>
            <w:vAlign w:val="center"/>
          </w:tcPr>
          <w:p w14:paraId="5973DCD4">
            <w:pPr>
              <w:widowControl/>
              <w:spacing w:before="100" w:beforeAutospacing="1" w:after="100" w:afterAutospacing="1" w:line="360" w:lineRule="auto"/>
              <w:jc w:val="center"/>
              <w:rPr>
                <w:rFonts w:eastAsia="仿宋_GB2312"/>
                <w:sz w:val="18"/>
                <w:szCs w:val="18"/>
              </w:rPr>
            </w:pPr>
          </w:p>
        </w:tc>
      </w:tr>
      <w:tr w14:paraId="51783A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06D57BB8">
            <w:pPr>
              <w:widowControl/>
              <w:spacing w:before="100" w:beforeAutospacing="1" w:after="100" w:afterAutospacing="1"/>
              <w:jc w:val="center"/>
              <w:rPr>
                <w:rFonts w:eastAsia="仿宋_GB2312"/>
                <w:sz w:val="18"/>
                <w:szCs w:val="18"/>
              </w:rPr>
            </w:pPr>
            <w:r>
              <w:rPr>
                <w:rFonts w:hint="eastAsia" w:eastAsia="仿宋_GB2312"/>
                <w:sz w:val="18"/>
                <w:szCs w:val="18"/>
              </w:rPr>
              <w:t>24</w:t>
            </w:r>
          </w:p>
        </w:tc>
        <w:tc>
          <w:tcPr>
            <w:tcW w:w="4680" w:type="dxa"/>
            <w:tcBorders>
              <w:top w:val="single" w:color="auto" w:sz="4" w:space="0"/>
              <w:left w:val="single" w:color="auto" w:sz="4" w:space="0"/>
              <w:bottom w:val="single" w:color="auto" w:sz="4" w:space="0"/>
              <w:right w:val="single" w:color="auto" w:sz="4" w:space="0"/>
            </w:tcBorders>
            <w:vAlign w:val="center"/>
          </w:tcPr>
          <w:p w14:paraId="46F808BA">
            <w:pPr>
              <w:widowControl/>
              <w:spacing w:before="100" w:beforeAutospacing="1" w:after="100" w:afterAutospacing="1" w:line="360" w:lineRule="auto"/>
              <w:jc w:val="center"/>
              <w:rPr>
                <w:rFonts w:eastAsia="仿宋_GB2312"/>
                <w:sz w:val="18"/>
                <w:szCs w:val="18"/>
              </w:rPr>
            </w:pPr>
            <w:r>
              <w:rPr>
                <w:rFonts w:hint="eastAsia" w:eastAsia="仿宋_GB2312"/>
                <w:sz w:val="18"/>
                <w:szCs w:val="18"/>
              </w:rPr>
              <w:t>A</w:t>
            </w:r>
            <w:r>
              <w:rPr>
                <w:rFonts w:eastAsia="仿宋_GB2312"/>
                <w:sz w:val="18"/>
                <w:szCs w:val="18"/>
              </w:rPr>
              <w:t>n Introduction to Optimization</w:t>
            </w:r>
          </w:p>
        </w:tc>
        <w:tc>
          <w:tcPr>
            <w:tcW w:w="1980" w:type="dxa"/>
            <w:tcBorders>
              <w:top w:val="single" w:color="auto" w:sz="4" w:space="0"/>
              <w:left w:val="single" w:color="auto" w:sz="4" w:space="0"/>
              <w:bottom w:val="single" w:color="auto" w:sz="4" w:space="0"/>
              <w:right w:val="single" w:color="auto" w:sz="4" w:space="0"/>
            </w:tcBorders>
            <w:vAlign w:val="center"/>
          </w:tcPr>
          <w:p w14:paraId="34739AF7">
            <w:pPr>
              <w:widowControl/>
              <w:spacing w:before="100" w:beforeAutospacing="1" w:after="100" w:afterAutospacing="1" w:line="360" w:lineRule="auto"/>
              <w:jc w:val="center"/>
              <w:rPr>
                <w:rFonts w:eastAsia="仿宋_GB2312"/>
                <w:sz w:val="18"/>
                <w:szCs w:val="18"/>
              </w:rPr>
            </w:pPr>
            <w:r>
              <w:rPr>
                <w:rFonts w:eastAsia="仿宋_GB2312"/>
                <w:sz w:val="18"/>
                <w:szCs w:val="18"/>
              </w:rPr>
              <w:t> E. K. Chong&amp;S. Zak</w:t>
            </w:r>
          </w:p>
        </w:tc>
        <w:tc>
          <w:tcPr>
            <w:tcW w:w="1440" w:type="dxa"/>
            <w:tcBorders>
              <w:top w:val="single" w:color="auto" w:sz="4" w:space="0"/>
              <w:left w:val="single" w:color="auto" w:sz="4" w:space="0"/>
              <w:bottom w:val="single" w:color="auto" w:sz="4" w:space="0"/>
              <w:right w:val="single" w:color="auto" w:sz="4" w:space="0"/>
            </w:tcBorders>
            <w:vAlign w:val="center"/>
          </w:tcPr>
          <w:p w14:paraId="520CD5F0">
            <w:pPr>
              <w:widowControl/>
              <w:spacing w:before="100" w:beforeAutospacing="1" w:after="100" w:afterAutospacing="1" w:line="360" w:lineRule="auto"/>
              <w:jc w:val="center"/>
              <w:rPr>
                <w:rFonts w:eastAsia="仿宋_GB2312"/>
                <w:sz w:val="18"/>
                <w:szCs w:val="18"/>
              </w:rPr>
            </w:pPr>
          </w:p>
        </w:tc>
      </w:tr>
      <w:tr w14:paraId="2477BA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0C717937">
            <w:pPr>
              <w:widowControl/>
              <w:spacing w:before="100" w:beforeAutospacing="1" w:after="100" w:afterAutospacing="1"/>
              <w:jc w:val="center"/>
              <w:rPr>
                <w:rFonts w:eastAsia="仿宋_GB2312"/>
                <w:sz w:val="18"/>
                <w:szCs w:val="18"/>
              </w:rPr>
            </w:pPr>
            <w:r>
              <w:rPr>
                <w:rFonts w:hint="eastAsia" w:eastAsia="仿宋_GB2312"/>
                <w:sz w:val="18"/>
                <w:szCs w:val="18"/>
              </w:rPr>
              <w:t>25</w:t>
            </w:r>
          </w:p>
        </w:tc>
        <w:tc>
          <w:tcPr>
            <w:tcW w:w="4680" w:type="dxa"/>
            <w:tcBorders>
              <w:top w:val="single" w:color="auto" w:sz="4" w:space="0"/>
              <w:left w:val="single" w:color="auto" w:sz="4" w:space="0"/>
              <w:bottom w:val="single" w:color="auto" w:sz="4" w:space="0"/>
              <w:right w:val="single" w:color="auto" w:sz="4" w:space="0"/>
            </w:tcBorders>
            <w:vAlign w:val="center"/>
          </w:tcPr>
          <w:p w14:paraId="7843FAAF">
            <w:pPr>
              <w:widowControl/>
              <w:spacing w:before="100" w:beforeAutospacing="1" w:after="100" w:afterAutospacing="1" w:line="360" w:lineRule="auto"/>
              <w:jc w:val="center"/>
              <w:rPr>
                <w:rFonts w:eastAsia="仿宋_GB2312"/>
                <w:sz w:val="18"/>
                <w:szCs w:val="18"/>
              </w:rPr>
            </w:pPr>
            <w:r>
              <w:rPr>
                <w:rFonts w:hint="eastAsia" w:eastAsia="仿宋_GB2312"/>
                <w:sz w:val="18"/>
                <w:szCs w:val="18"/>
              </w:rPr>
              <w:t>T</w:t>
            </w:r>
            <w:r>
              <w:rPr>
                <w:rFonts w:eastAsia="仿宋_GB2312"/>
                <w:sz w:val="18"/>
                <w:szCs w:val="18"/>
              </w:rPr>
              <w:t>he Top Ten Algorithms in Data M</w:t>
            </w:r>
            <w:r>
              <w:rPr>
                <w:rFonts w:hint="eastAsia" w:eastAsia="仿宋_GB2312"/>
                <w:sz w:val="18"/>
                <w:szCs w:val="18"/>
              </w:rPr>
              <w:t>i</w:t>
            </w:r>
            <w:r>
              <w:rPr>
                <w:rFonts w:eastAsia="仿宋_GB2312"/>
                <w:sz w:val="18"/>
                <w:szCs w:val="18"/>
              </w:rPr>
              <w:t>ning</w:t>
            </w:r>
          </w:p>
        </w:tc>
        <w:tc>
          <w:tcPr>
            <w:tcW w:w="1980" w:type="dxa"/>
            <w:tcBorders>
              <w:top w:val="single" w:color="auto" w:sz="4" w:space="0"/>
              <w:left w:val="single" w:color="auto" w:sz="4" w:space="0"/>
              <w:bottom w:val="single" w:color="auto" w:sz="4" w:space="0"/>
              <w:right w:val="single" w:color="auto" w:sz="4" w:space="0"/>
            </w:tcBorders>
            <w:vAlign w:val="center"/>
          </w:tcPr>
          <w:p w14:paraId="62F50542">
            <w:pPr>
              <w:widowControl/>
              <w:spacing w:before="100" w:beforeAutospacing="1" w:after="100" w:afterAutospacing="1" w:line="360" w:lineRule="auto"/>
              <w:jc w:val="center"/>
              <w:rPr>
                <w:rFonts w:eastAsia="仿宋_GB2312"/>
                <w:sz w:val="18"/>
                <w:szCs w:val="18"/>
              </w:rPr>
            </w:pPr>
            <w:r>
              <w:rPr>
                <w:rFonts w:eastAsia="仿宋_GB2312"/>
                <w:sz w:val="18"/>
                <w:szCs w:val="18"/>
              </w:rPr>
              <w:t> X. Wu&amp;V. Kumar</w:t>
            </w:r>
          </w:p>
        </w:tc>
        <w:tc>
          <w:tcPr>
            <w:tcW w:w="1440" w:type="dxa"/>
            <w:tcBorders>
              <w:top w:val="single" w:color="auto" w:sz="4" w:space="0"/>
              <w:left w:val="single" w:color="auto" w:sz="4" w:space="0"/>
              <w:bottom w:val="single" w:color="auto" w:sz="4" w:space="0"/>
              <w:right w:val="single" w:color="auto" w:sz="4" w:space="0"/>
            </w:tcBorders>
            <w:vAlign w:val="center"/>
          </w:tcPr>
          <w:p w14:paraId="6CD78E37">
            <w:pPr>
              <w:widowControl/>
              <w:spacing w:before="100" w:beforeAutospacing="1" w:after="100" w:afterAutospacing="1" w:line="360" w:lineRule="auto"/>
              <w:jc w:val="center"/>
              <w:rPr>
                <w:rFonts w:eastAsia="仿宋_GB2312"/>
                <w:sz w:val="18"/>
                <w:szCs w:val="18"/>
              </w:rPr>
            </w:pPr>
          </w:p>
        </w:tc>
      </w:tr>
      <w:tr w14:paraId="641A78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203FAD00">
            <w:pPr>
              <w:widowControl/>
              <w:spacing w:before="100" w:beforeAutospacing="1" w:after="100" w:afterAutospacing="1"/>
              <w:jc w:val="center"/>
              <w:rPr>
                <w:rFonts w:eastAsia="仿宋_GB2312"/>
                <w:sz w:val="18"/>
                <w:szCs w:val="18"/>
              </w:rPr>
            </w:pPr>
            <w:r>
              <w:rPr>
                <w:rFonts w:hint="eastAsia" w:eastAsia="仿宋_GB2312"/>
                <w:sz w:val="18"/>
                <w:szCs w:val="18"/>
              </w:rPr>
              <w:t>26</w:t>
            </w:r>
          </w:p>
        </w:tc>
        <w:tc>
          <w:tcPr>
            <w:tcW w:w="4680" w:type="dxa"/>
            <w:tcBorders>
              <w:top w:val="single" w:color="auto" w:sz="4" w:space="0"/>
              <w:left w:val="single" w:color="auto" w:sz="4" w:space="0"/>
              <w:bottom w:val="single" w:color="auto" w:sz="4" w:space="0"/>
              <w:right w:val="single" w:color="auto" w:sz="4" w:space="0"/>
            </w:tcBorders>
            <w:vAlign w:val="center"/>
          </w:tcPr>
          <w:p w14:paraId="45DC8BCD">
            <w:pPr>
              <w:widowControl/>
              <w:spacing w:before="100" w:beforeAutospacing="1" w:after="100" w:afterAutospacing="1" w:line="360" w:lineRule="auto"/>
              <w:jc w:val="center"/>
              <w:rPr>
                <w:rFonts w:eastAsia="仿宋_GB2312"/>
                <w:sz w:val="18"/>
                <w:szCs w:val="18"/>
              </w:rPr>
            </w:pPr>
            <w:r>
              <w:rPr>
                <w:rFonts w:hint="eastAsia" w:eastAsia="仿宋_GB2312"/>
                <w:sz w:val="18"/>
                <w:szCs w:val="18"/>
              </w:rPr>
              <w:t>计算数学</w:t>
            </w:r>
            <w:r>
              <w:rPr>
                <w:rFonts w:eastAsia="仿宋_GB2312"/>
                <w:sz w:val="18"/>
                <w:szCs w:val="18"/>
              </w:rPr>
              <w:t xml:space="preserve"> </w:t>
            </w:r>
            <w:r>
              <w:rPr>
                <w:rFonts w:hint="eastAsia" w:eastAsia="仿宋_GB2312"/>
                <w:sz w:val="18"/>
                <w:szCs w:val="18"/>
              </w:rPr>
              <w:t>（</w:t>
            </w:r>
            <w:r>
              <w:rPr>
                <w:rFonts w:eastAsia="仿宋_GB2312"/>
                <w:sz w:val="18"/>
                <w:szCs w:val="18"/>
              </w:rPr>
              <w:t>M</w:t>
            </w:r>
            <w:r>
              <w:rPr>
                <w:rFonts w:hint="eastAsia" w:eastAsia="仿宋_GB2312"/>
                <w:sz w:val="18"/>
                <w:szCs w:val="18"/>
              </w:rPr>
              <w:t>athe</w:t>
            </w:r>
            <w:r>
              <w:rPr>
                <w:rFonts w:eastAsia="仿宋_GB2312"/>
                <w:sz w:val="18"/>
                <w:szCs w:val="18"/>
              </w:rPr>
              <w:t>matica Numerica Sinica</w:t>
            </w:r>
            <w:r>
              <w:rPr>
                <w:rFonts w:hint="eastAsia" w:eastAsia="仿宋_GB2312"/>
                <w:sz w:val="18"/>
                <w:szCs w:val="18"/>
              </w:rPr>
              <w:t>）</w:t>
            </w:r>
          </w:p>
        </w:tc>
        <w:tc>
          <w:tcPr>
            <w:tcW w:w="1980" w:type="dxa"/>
            <w:tcBorders>
              <w:top w:val="single" w:color="auto" w:sz="4" w:space="0"/>
              <w:left w:val="single" w:color="auto" w:sz="4" w:space="0"/>
              <w:bottom w:val="single" w:color="auto" w:sz="4" w:space="0"/>
              <w:right w:val="single" w:color="auto" w:sz="4" w:space="0"/>
            </w:tcBorders>
            <w:vAlign w:val="center"/>
          </w:tcPr>
          <w:p w14:paraId="38EC1728">
            <w:pPr>
              <w:widowControl/>
              <w:spacing w:before="100" w:beforeAutospacing="1" w:after="100" w:afterAutospacing="1" w:line="360" w:lineRule="auto"/>
              <w:jc w:val="center"/>
              <w:rPr>
                <w:rFonts w:eastAsia="仿宋_GB2312"/>
                <w:sz w:val="18"/>
                <w:szCs w:val="18"/>
              </w:rPr>
            </w:pPr>
          </w:p>
        </w:tc>
        <w:tc>
          <w:tcPr>
            <w:tcW w:w="1440" w:type="dxa"/>
            <w:tcBorders>
              <w:top w:val="single" w:color="auto" w:sz="4" w:space="0"/>
              <w:left w:val="single" w:color="auto" w:sz="4" w:space="0"/>
              <w:bottom w:val="single" w:color="auto" w:sz="4" w:space="0"/>
              <w:right w:val="single" w:color="auto" w:sz="4" w:space="0"/>
            </w:tcBorders>
            <w:vAlign w:val="center"/>
          </w:tcPr>
          <w:p w14:paraId="544131A5">
            <w:pPr>
              <w:widowControl/>
              <w:spacing w:before="100" w:beforeAutospacing="1" w:after="100" w:afterAutospacing="1" w:line="360" w:lineRule="auto"/>
              <w:jc w:val="center"/>
              <w:rPr>
                <w:rFonts w:eastAsia="仿宋_GB2312"/>
                <w:sz w:val="18"/>
                <w:szCs w:val="18"/>
              </w:rPr>
            </w:pPr>
          </w:p>
        </w:tc>
      </w:tr>
      <w:tr w14:paraId="356BF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668081FA">
            <w:pPr>
              <w:widowControl/>
              <w:spacing w:before="100" w:beforeAutospacing="1" w:after="100" w:afterAutospacing="1"/>
              <w:jc w:val="center"/>
              <w:rPr>
                <w:rFonts w:eastAsia="仿宋_GB2312"/>
                <w:sz w:val="18"/>
                <w:szCs w:val="18"/>
              </w:rPr>
            </w:pPr>
            <w:r>
              <w:rPr>
                <w:rFonts w:hint="eastAsia" w:eastAsia="仿宋_GB2312"/>
                <w:sz w:val="18"/>
                <w:szCs w:val="18"/>
              </w:rPr>
              <w:t>27</w:t>
            </w:r>
          </w:p>
        </w:tc>
        <w:tc>
          <w:tcPr>
            <w:tcW w:w="4680" w:type="dxa"/>
            <w:tcBorders>
              <w:top w:val="single" w:color="auto" w:sz="4" w:space="0"/>
              <w:left w:val="single" w:color="auto" w:sz="4" w:space="0"/>
              <w:bottom w:val="single" w:color="auto" w:sz="4" w:space="0"/>
              <w:right w:val="single" w:color="auto" w:sz="4" w:space="0"/>
            </w:tcBorders>
            <w:vAlign w:val="center"/>
          </w:tcPr>
          <w:p w14:paraId="6B073FCA">
            <w:pPr>
              <w:widowControl/>
              <w:spacing w:before="100" w:beforeAutospacing="1" w:after="100" w:afterAutospacing="1" w:line="360" w:lineRule="auto"/>
              <w:jc w:val="center"/>
              <w:rPr>
                <w:rFonts w:eastAsia="仿宋_GB2312"/>
                <w:sz w:val="18"/>
                <w:szCs w:val="18"/>
              </w:rPr>
            </w:pPr>
            <w:r>
              <w:rPr>
                <w:rFonts w:hint="eastAsia" w:eastAsia="仿宋_GB2312"/>
                <w:sz w:val="18"/>
                <w:szCs w:val="18"/>
              </w:rPr>
              <w:t>高等学校计算数学学报（N</w:t>
            </w:r>
            <w:r>
              <w:rPr>
                <w:rFonts w:eastAsia="仿宋_GB2312"/>
                <w:sz w:val="18"/>
                <w:szCs w:val="18"/>
              </w:rPr>
              <w:t>umerical Mathematics-A J</w:t>
            </w:r>
            <w:r>
              <w:rPr>
                <w:rFonts w:hint="eastAsia" w:eastAsia="仿宋_GB2312"/>
                <w:sz w:val="18"/>
                <w:szCs w:val="18"/>
              </w:rPr>
              <w:t>ournal</w:t>
            </w:r>
            <w:r>
              <w:rPr>
                <w:rFonts w:eastAsia="仿宋_GB2312"/>
                <w:sz w:val="18"/>
                <w:szCs w:val="18"/>
              </w:rPr>
              <w:t xml:space="preserve"> of Chinese Universities</w:t>
            </w:r>
            <w:r>
              <w:rPr>
                <w:rFonts w:hint="eastAsia" w:eastAsia="仿宋_GB2312"/>
                <w:sz w:val="18"/>
                <w:szCs w:val="18"/>
              </w:rPr>
              <w:t>）</w:t>
            </w:r>
          </w:p>
        </w:tc>
        <w:tc>
          <w:tcPr>
            <w:tcW w:w="1980" w:type="dxa"/>
            <w:tcBorders>
              <w:top w:val="single" w:color="auto" w:sz="4" w:space="0"/>
              <w:left w:val="single" w:color="auto" w:sz="4" w:space="0"/>
              <w:bottom w:val="single" w:color="auto" w:sz="4" w:space="0"/>
              <w:right w:val="single" w:color="auto" w:sz="4" w:space="0"/>
            </w:tcBorders>
            <w:vAlign w:val="center"/>
          </w:tcPr>
          <w:p w14:paraId="10271EC6">
            <w:pPr>
              <w:widowControl/>
              <w:spacing w:before="100" w:beforeAutospacing="1" w:after="100" w:afterAutospacing="1" w:line="360" w:lineRule="auto"/>
              <w:jc w:val="center"/>
              <w:rPr>
                <w:rFonts w:eastAsia="仿宋_GB2312"/>
                <w:sz w:val="18"/>
                <w:szCs w:val="18"/>
              </w:rPr>
            </w:pPr>
          </w:p>
        </w:tc>
        <w:tc>
          <w:tcPr>
            <w:tcW w:w="1440" w:type="dxa"/>
            <w:tcBorders>
              <w:top w:val="single" w:color="auto" w:sz="4" w:space="0"/>
              <w:left w:val="single" w:color="auto" w:sz="4" w:space="0"/>
              <w:bottom w:val="single" w:color="auto" w:sz="4" w:space="0"/>
              <w:right w:val="single" w:color="auto" w:sz="4" w:space="0"/>
            </w:tcBorders>
            <w:vAlign w:val="center"/>
          </w:tcPr>
          <w:p w14:paraId="47D4451B">
            <w:pPr>
              <w:widowControl/>
              <w:spacing w:before="100" w:beforeAutospacing="1" w:after="100" w:afterAutospacing="1" w:line="360" w:lineRule="auto"/>
              <w:jc w:val="center"/>
              <w:rPr>
                <w:rFonts w:eastAsia="仿宋_GB2312"/>
                <w:sz w:val="18"/>
                <w:szCs w:val="18"/>
              </w:rPr>
            </w:pPr>
          </w:p>
        </w:tc>
      </w:tr>
      <w:tr w14:paraId="2AA74E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0A3B2BF9">
            <w:pPr>
              <w:widowControl/>
              <w:spacing w:before="100" w:beforeAutospacing="1" w:after="100" w:afterAutospacing="1"/>
              <w:jc w:val="center"/>
              <w:rPr>
                <w:rFonts w:eastAsia="仿宋_GB2312"/>
                <w:sz w:val="18"/>
                <w:szCs w:val="18"/>
              </w:rPr>
            </w:pPr>
            <w:r>
              <w:rPr>
                <w:rFonts w:hint="eastAsia" w:eastAsia="仿宋_GB2312"/>
                <w:sz w:val="18"/>
                <w:szCs w:val="18"/>
              </w:rPr>
              <w:t>28</w:t>
            </w:r>
          </w:p>
        </w:tc>
        <w:tc>
          <w:tcPr>
            <w:tcW w:w="4680" w:type="dxa"/>
            <w:tcBorders>
              <w:top w:val="single" w:color="auto" w:sz="4" w:space="0"/>
              <w:left w:val="single" w:color="auto" w:sz="4" w:space="0"/>
              <w:bottom w:val="single" w:color="auto" w:sz="4" w:space="0"/>
              <w:right w:val="single" w:color="auto" w:sz="4" w:space="0"/>
            </w:tcBorders>
          </w:tcPr>
          <w:p w14:paraId="1B1295D3">
            <w:pPr>
              <w:widowControl/>
              <w:spacing w:before="100" w:beforeAutospacing="1" w:after="100" w:afterAutospacing="1" w:line="360" w:lineRule="auto"/>
              <w:jc w:val="center"/>
              <w:rPr>
                <w:rFonts w:eastAsia="仿宋_GB2312"/>
                <w:sz w:val="18"/>
                <w:szCs w:val="18"/>
              </w:rPr>
            </w:pPr>
            <w:r>
              <w:rPr>
                <w:rFonts w:hint="eastAsia" w:eastAsia="仿宋_GB2312"/>
                <w:sz w:val="18"/>
                <w:szCs w:val="18"/>
              </w:rPr>
              <w:t>SIAM Review (SIAM 评论）</w:t>
            </w:r>
          </w:p>
        </w:tc>
        <w:tc>
          <w:tcPr>
            <w:tcW w:w="1980" w:type="dxa"/>
            <w:tcBorders>
              <w:top w:val="single" w:color="auto" w:sz="4" w:space="0"/>
              <w:left w:val="single" w:color="auto" w:sz="4" w:space="0"/>
              <w:bottom w:val="single" w:color="auto" w:sz="4" w:space="0"/>
              <w:right w:val="single" w:color="auto" w:sz="4" w:space="0"/>
            </w:tcBorders>
            <w:vAlign w:val="center"/>
          </w:tcPr>
          <w:p w14:paraId="330A7321">
            <w:pPr>
              <w:widowControl/>
              <w:spacing w:before="100" w:beforeAutospacing="1" w:after="100" w:afterAutospacing="1" w:line="360" w:lineRule="auto"/>
              <w:jc w:val="center"/>
              <w:rPr>
                <w:rFonts w:eastAsia="仿宋_GB2312"/>
                <w:sz w:val="18"/>
                <w:szCs w:val="18"/>
              </w:rPr>
            </w:pPr>
          </w:p>
        </w:tc>
        <w:tc>
          <w:tcPr>
            <w:tcW w:w="1440" w:type="dxa"/>
            <w:tcBorders>
              <w:top w:val="single" w:color="auto" w:sz="4" w:space="0"/>
              <w:left w:val="single" w:color="auto" w:sz="4" w:space="0"/>
              <w:bottom w:val="single" w:color="auto" w:sz="4" w:space="0"/>
              <w:right w:val="single" w:color="auto" w:sz="4" w:space="0"/>
            </w:tcBorders>
            <w:vAlign w:val="center"/>
          </w:tcPr>
          <w:p w14:paraId="32EF8AA9">
            <w:pPr>
              <w:widowControl/>
              <w:spacing w:before="100" w:beforeAutospacing="1" w:after="100" w:afterAutospacing="1" w:line="360" w:lineRule="auto"/>
              <w:jc w:val="center"/>
              <w:rPr>
                <w:rFonts w:eastAsia="仿宋_GB2312"/>
                <w:sz w:val="18"/>
                <w:szCs w:val="18"/>
              </w:rPr>
            </w:pPr>
          </w:p>
        </w:tc>
      </w:tr>
      <w:tr w14:paraId="0B1938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6F86433E">
            <w:pPr>
              <w:widowControl/>
              <w:spacing w:before="100" w:beforeAutospacing="1" w:after="100" w:afterAutospacing="1"/>
              <w:jc w:val="center"/>
              <w:rPr>
                <w:rFonts w:eastAsia="仿宋_GB2312"/>
                <w:sz w:val="18"/>
                <w:szCs w:val="18"/>
              </w:rPr>
            </w:pPr>
            <w:r>
              <w:rPr>
                <w:rFonts w:hint="eastAsia" w:eastAsia="仿宋_GB2312"/>
                <w:sz w:val="18"/>
                <w:szCs w:val="18"/>
              </w:rPr>
              <w:t>29</w:t>
            </w:r>
          </w:p>
        </w:tc>
        <w:tc>
          <w:tcPr>
            <w:tcW w:w="4680" w:type="dxa"/>
            <w:tcBorders>
              <w:top w:val="single" w:color="auto" w:sz="4" w:space="0"/>
              <w:left w:val="single" w:color="auto" w:sz="4" w:space="0"/>
              <w:bottom w:val="single" w:color="auto" w:sz="4" w:space="0"/>
              <w:right w:val="single" w:color="auto" w:sz="4" w:space="0"/>
            </w:tcBorders>
          </w:tcPr>
          <w:p w14:paraId="0CCE93A5">
            <w:pPr>
              <w:widowControl/>
              <w:spacing w:before="100" w:beforeAutospacing="1" w:after="100" w:afterAutospacing="1" w:line="360" w:lineRule="auto"/>
              <w:jc w:val="center"/>
              <w:rPr>
                <w:rFonts w:eastAsia="仿宋_GB2312"/>
                <w:sz w:val="18"/>
                <w:szCs w:val="18"/>
              </w:rPr>
            </w:pPr>
            <w:r>
              <w:rPr>
                <w:rFonts w:hint="eastAsia" w:eastAsia="仿宋_GB2312"/>
                <w:sz w:val="18"/>
                <w:szCs w:val="18"/>
              </w:rPr>
              <w:t>SIAM Journal on Computing（SIAM 计算）</w:t>
            </w:r>
          </w:p>
        </w:tc>
        <w:tc>
          <w:tcPr>
            <w:tcW w:w="1980" w:type="dxa"/>
            <w:tcBorders>
              <w:top w:val="single" w:color="auto" w:sz="4" w:space="0"/>
              <w:left w:val="single" w:color="auto" w:sz="4" w:space="0"/>
              <w:bottom w:val="single" w:color="auto" w:sz="4" w:space="0"/>
              <w:right w:val="single" w:color="auto" w:sz="4" w:space="0"/>
            </w:tcBorders>
            <w:vAlign w:val="center"/>
          </w:tcPr>
          <w:p w14:paraId="6C02C6A1">
            <w:pPr>
              <w:widowControl/>
              <w:spacing w:before="100" w:beforeAutospacing="1" w:after="100" w:afterAutospacing="1" w:line="360" w:lineRule="auto"/>
              <w:jc w:val="center"/>
              <w:rPr>
                <w:rFonts w:eastAsia="仿宋_GB2312"/>
                <w:sz w:val="18"/>
                <w:szCs w:val="18"/>
              </w:rPr>
            </w:pPr>
          </w:p>
        </w:tc>
        <w:tc>
          <w:tcPr>
            <w:tcW w:w="1440" w:type="dxa"/>
            <w:tcBorders>
              <w:top w:val="single" w:color="auto" w:sz="4" w:space="0"/>
              <w:left w:val="single" w:color="auto" w:sz="4" w:space="0"/>
              <w:bottom w:val="single" w:color="auto" w:sz="4" w:space="0"/>
              <w:right w:val="single" w:color="auto" w:sz="4" w:space="0"/>
            </w:tcBorders>
            <w:vAlign w:val="center"/>
          </w:tcPr>
          <w:p w14:paraId="418AF657">
            <w:pPr>
              <w:widowControl/>
              <w:spacing w:before="100" w:beforeAutospacing="1" w:after="100" w:afterAutospacing="1" w:line="360" w:lineRule="auto"/>
              <w:jc w:val="center"/>
              <w:rPr>
                <w:rFonts w:eastAsia="仿宋_GB2312"/>
                <w:sz w:val="18"/>
                <w:szCs w:val="18"/>
              </w:rPr>
            </w:pPr>
          </w:p>
        </w:tc>
      </w:tr>
      <w:tr w14:paraId="0BC0DB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618C141F">
            <w:pPr>
              <w:widowControl/>
              <w:spacing w:before="100" w:beforeAutospacing="1" w:after="100" w:afterAutospacing="1"/>
              <w:jc w:val="center"/>
              <w:rPr>
                <w:rFonts w:eastAsia="仿宋_GB2312"/>
                <w:sz w:val="18"/>
                <w:szCs w:val="18"/>
              </w:rPr>
            </w:pPr>
            <w:r>
              <w:rPr>
                <w:rFonts w:hint="eastAsia" w:eastAsia="仿宋_GB2312"/>
                <w:sz w:val="18"/>
                <w:szCs w:val="18"/>
              </w:rPr>
              <w:t>30</w:t>
            </w:r>
          </w:p>
        </w:tc>
        <w:tc>
          <w:tcPr>
            <w:tcW w:w="4680" w:type="dxa"/>
            <w:tcBorders>
              <w:top w:val="single" w:color="auto" w:sz="4" w:space="0"/>
              <w:left w:val="single" w:color="auto" w:sz="4" w:space="0"/>
              <w:bottom w:val="single" w:color="auto" w:sz="4" w:space="0"/>
              <w:right w:val="single" w:color="auto" w:sz="4" w:space="0"/>
            </w:tcBorders>
          </w:tcPr>
          <w:p w14:paraId="55ECCEF0">
            <w:pPr>
              <w:widowControl/>
              <w:spacing w:before="100" w:beforeAutospacing="1" w:after="100" w:afterAutospacing="1" w:line="360" w:lineRule="auto"/>
              <w:jc w:val="center"/>
              <w:rPr>
                <w:rFonts w:eastAsia="仿宋_GB2312"/>
                <w:sz w:val="18"/>
                <w:szCs w:val="18"/>
              </w:rPr>
            </w:pPr>
            <w:r>
              <w:rPr>
                <w:rFonts w:hint="eastAsia" w:eastAsia="仿宋_GB2312"/>
                <w:sz w:val="18"/>
                <w:szCs w:val="18"/>
              </w:rPr>
              <w:t>SIAM Journal on Matrix Analysis and Applications （SIAM 矩阵分析及应用）</w:t>
            </w:r>
          </w:p>
        </w:tc>
        <w:tc>
          <w:tcPr>
            <w:tcW w:w="1980" w:type="dxa"/>
            <w:tcBorders>
              <w:top w:val="single" w:color="auto" w:sz="4" w:space="0"/>
              <w:left w:val="single" w:color="auto" w:sz="4" w:space="0"/>
              <w:bottom w:val="single" w:color="auto" w:sz="4" w:space="0"/>
              <w:right w:val="single" w:color="auto" w:sz="4" w:space="0"/>
            </w:tcBorders>
            <w:vAlign w:val="center"/>
          </w:tcPr>
          <w:p w14:paraId="78CBB9AE">
            <w:pPr>
              <w:widowControl/>
              <w:spacing w:before="100" w:beforeAutospacing="1" w:after="100" w:afterAutospacing="1" w:line="360" w:lineRule="auto"/>
              <w:jc w:val="center"/>
              <w:rPr>
                <w:rFonts w:eastAsia="仿宋_GB2312"/>
                <w:sz w:val="18"/>
                <w:szCs w:val="18"/>
              </w:rPr>
            </w:pPr>
          </w:p>
        </w:tc>
        <w:tc>
          <w:tcPr>
            <w:tcW w:w="1440" w:type="dxa"/>
            <w:tcBorders>
              <w:top w:val="single" w:color="auto" w:sz="4" w:space="0"/>
              <w:left w:val="single" w:color="auto" w:sz="4" w:space="0"/>
              <w:bottom w:val="single" w:color="auto" w:sz="4" w:space="0"/>
              <w:right w:val="single" w:color="auto" w:sz="4" w:space="0"/>
            </w:tcBorders>
            <w:vAlign w:val="center"/>
          </w:tcPr>
          <w:p w14:paraId="3A9F4903">
            <w:pPr>
              <w:widowControl/>
              <w:spacing w:before="100" w:beforeAutospacing="1" w:after="100" w:afterAutospacing="1" w:line="360" w:lineRule="auto"/>
              <w:jc w:val="center"/>
              <w:rPr>
                <w:rFonts w:eastAsia="仿宋_GB2312"/>
                <w:sz w:val="18"/>
                <w:szCs w:val="18"/>
              </w:rPr>
            </w:pPr>
          </w:p>
        </w:tc>
      </w:tr>
      <w:tr w14:paraId="0A0EBB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00A6D91A">
            <w:pPr>
              <w:widowControl/>
              <w:spacing w:before="100" w:beforeAutospacing="1" w:after="100" w:afterAutospacing="1"/>
              <w:jc w:val="center"/>
              <w:rPr>
                <w:rFonts w:eastAsia="仿宋_GB2312"/>
                <w:sz w:val="18"/>
                <w:szCs w:val="18"/>
              </w:rPr>
            </w:pPr>
            <w:r>
              <w:rPr>
                <w:rFonts w:hint="eastAsia" w:eastAsia="仿宋_GB2312"/>
                <w:sz w:val="18"/>
                <w:szCs w:val="18"/>
              </w:rPr>
              <w:t>31</w:t>
            </w:r>
          </w:p>
        </w:tc>
        <w:tc>
          <w:tcPr>
            <w:tcW w:w="4680" w:type="dxa"/>
            <w:tcBorders>
              <w:top w:val="single" w:color="auto" w:sz="4" w:space="0"/>
              <w:left w:val="single" w:color="auto" w:sz="4" w:space="0"/>
              <w:bottom w:val="single" w:color="auto" w:sz="4" w:space="0"/>
              <w:right w:val="single" w:color="auto" w:sz="4" w:space="0"/>
            </w:tcBorders>
            <w:vAlign w:val="center"/>
          </w:tcPr>
          <w:p w14:paraId="1BE36130">
            <w:pPr>
              <w:widowControl/>
              <w:spacing w:before="100" w:beforeAutospacing="1" w:after="100" w:afterAutospacing="1" w:line="360" w:lineRule="auto"/>
              <w:jc w:val="center"/>
              <w:rPr>
                <w:rFonts w:eastAsia="仿宋_GB2312"/>
                <w:sz w:val="18"/>
                <w:szCs w:val="18"/>
              </w:rPr>
            </w:pPr>
            <w:r>
              <w:rPr>
                <w:rFonts w:hint="eastAsia" w:eastAsia="仿宋_GB2312"/>
                <w:sz w:val="18"/>
                <w:szCs w:val="18"/>
              </w:rPr>
              <w:t>SIAM Journal on Mathematical Analysis （SIAM 数学分析）</w:t>
            </w:r>
          </w:p>
        </w:tc>
        <w:tc>
          <w:tcPr>
            <w:tcW w:w="1980" w:type="dxa"/>
            <w:tcBorders>
              <w:top w:val="single" w:color="auto" w:sz="4" w:space="0"/>
              <w:left w:val="single" w:color="auto" w:sz="4" w:space="0"/>
              <w:bottom w:val="single" w:color="auto" w:sz="4" w:space="0"/>
              <w:right w:val="single" w:color="auto" w:sz="4" w:space="0"/>
            </w:tcBorders>
            <w:vAlign w:val="center"/>
          </w:tcPr>
          <w:p w14:paraId="7D141E64">
            <w:pPr>
              <w:widowControl/>
              <w:spacing w:before="100" w:beforeAutospacing="1" w:after="100" w:afterAutospacing="1" w:line="360" w:lineRule="auto"/>
              <w:jc w:val="center"/>
              <w:rPr>
                <w:rFonts w:eastAsia="仿宋_GB2312"/>
                <w:sz w:val="18"/>
                <w:szCs w:val="18"/>
              </w:rPr>
            </w:pPr>
          </w:p>
        </w:tc>
        <w:tc>
          <w:tcPr>
            <w:tcW w:w="1440" w:type="dxa"/>
            <w:tcBorders>
              <w:top w:val="single" w:color="auto" w:sz="4" w:space="0"/>
              <w:left w:val="single" w:color="auto" w:sz="4" w:space="0"/>
              <w:bottom w:val="single" w:color="auto" w:sz="4" w:space="0"/>
              <w:right w:val="single" w:color="auto" w:sz="4" w:space="0"/>
            </w:tcBorders>
            <w:vAlign w:val="center"/>
          </w:tcPr>
          <w:p w14:paraId="07DED143">
            <w:pPr>
              <w:widowControl/>
              <w:spacing w:before="100" w:beforeAutospacing="1" w:after="100" w:afterAutospacing="1" w:line="360" w:lineRule="auto"/>
              <w:jc w:val="center"/>
              <w:rPr>
                <w:rFonts w:eastAsia="仿宋_GB2312"/>
                <w:sz w:val="18"/>
                <w:szCs w:val="18"/>
              </w:rPr>
            </w:pPr>
          </w:p>
        </w:tc>
      </w:tr>
      <w:tr w14:paraId="21FE72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7228C9A9">
            <w:pPr>
              <w:widowControl/>
              <w:spacing w:before="100" w:beforeAutospacing="1" w:after="100" w:afterAutospacing="1"/>
              <w:jc w:val="center"/>
              <w:rPr>
                <w:rFonts w:eastAsia="仿宋_GB2312"/>
                <w:sz w:val="18"/>
                <w:szCs w:val="18"/>
              </w:rPr>
            </w:pPr>
            <w:r>
              <w:rPr>
                <w:rFonts w:hint="eastAsia" w:eastAsia="仿宋_GB2312"/>
                <w:sz w:val="18"/>
                <w:szCs w:val="18"/>
              </w:rPr>
              <w:t>32</w:t>
            </w:r>
          </w:p>
        </w:tc>
        <w:tc>
          <w:tcPr>
            <w:tcW w:w="4680" w:type="dxa"/>
            <w:tcBorders>
              <w:top w:val="single" w:color="auto" w:sz="4" w:space="0"/>
              <w:left w:val="single" w:color="auto" w:sz="4" w:space="0"/>
              <w:bottom w:val="single" w:color="auto" w:sz="4" w:space="0"/>
              <w:right w:val="single" w:color="auto" w:sz="4" w:space="0"/>
            </w:tcBorders>
          </w:tcPr>
          <w:p w14:paraId="21CD505B">
            <w:pPr>
              <w:widowControl/>
              <w:spacing w:before="100" w:beforeAutospacing="1" w:after="100" w:afterAutospacing="1" w:line="360" w:lineRule="auto"/>
              <w:jc w:val="center"/>
              <w:rPr>
                <w:rFonts w:eastAsia="仿宋_GB2312"/>
                <w:sz w:val="18"/>
                <w:szCs w:val="18"/>
              </w:rPr>
            </w:pPr>
            <w:r>
              <w:rPr>
                <w:rFonts w:hint="eastAsia" w:eastAsia="仿宋_GB2312"/>
                <w:sz w:val="18"/>
                <w:szCs w:val="18"/>
              </w:rPr>
              <w:t>Mathematics of Computation （计算数学）</w:t>
            </w:r>
          </w:p>
        </w:tc>
        <w:tc>
          <w:tcPr>
            <w:tcW w:w="1980" w:type="dxa"/>
            <w:tcBorders>
              <w:top w:val="single" w:color="auto" w:sz="4" w:space="0"/>
              <w:left w:val="single" w:color="auto" w:sz="4" w:space="0"/>
              <w:bottom w:val="single" w:color="auto" w:sz="4" w:space="0"/>
              <w:right w:val="single" w:color="auto" w:sz="4" w:space="0"/>
            </w:tcBorders>
            <w:vAlign w:val="center"/>
          </w:tcPr>
          <w:p w14:paraId="5C90858E">
            <w:pPr>
              <w:widowControl/>
              <w:spacing w:before="100" w:beforeAutospacing="1" w:after="100" w:afterAutospacing="1" w:line="360" w:lineRule="auto"/>
              <w:jc w:val="center"/>
              <w:rPr>
                <w:rFonts w:eastAsia="仿宋_GB2312"/>
                <w:sz w:val="18"/>
                <w:szCs w:val="18"/>
              </w:rPr>
            </w:pPr>
          </w:p>
        </w:tc>
        <w:tc>
          <w:tcPr>
            <w:tcW w:w="1440" w:type="dxa"/>
            <w:tcBorders>
              <w:top w:val="single" w:color="auto" w:sz="4" w:space="0"/>
              <w:left w:val="single" w:color="auto" w:sz="4" w:space="0"/>
              <w:bottom w:val="single" w:color="auto" w:sz="4" w:space="0"/>
              <w:right w:val="single" w:color="auto" w:sz="4" w:space="0"/>
            </w:tcBorders>
            <w:vAlign w:val="center"/>
          </w:tcPr>
          <w:p w14:paraId="2F6071E7">
            <w:pPr>
              <w:widowControl/>
              <w:spacing w:before="100" w:beforeAutospacing="1" w:after="100" w:afterAutospacing="1" w:line="360" w:lineRule="auto"/>
              <w:jc w:val="center"/>
              <w:rPr>
                <w:rFonts w:eastAsia="仿宋_GB2312"/>
                <w:sz w:val="18"/>
                <w:szCs w:val="18"/>
              </w:rPr>
            </w:pPr>
          </w:p>
        </w:tc>
      </w:tr>
      <w:tr w14:paraId="1A4683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396EF839">
            <w:pPr>
              <w:widowControl/>
              <w:spacing w:before="100" w:beforeAutospacing="1" w:after="100" w:afterAutospacing="1"/>
              <w:jc w:val="center"/>
              <w:rPr>
                <w:rFonts w:eastAsia="仿宋_GB2312"/>
                <w:sz w:val="18"/>
                <w:szCs w:val="18"/>
              </w:rPr>
            </w:pPr>
            <w:r>
              <w:rPr>
                <w:rFonts w:hint="eastAsia" w:eastAsia="仿宋_GB2312"/>
                <w:sz w:val="18"/>
                <w:szCs w:val="18"/>
              </w:rPr>
              <w:t>33</w:t>
            </w:r>
          </w:p>
        </w:tc>
        <w:tc>
          <w:tcPr>
            <w:tcW w:w="4680" w:type="dxa"/>
            <w:tcBorders>
              <w:top w:val="single" w:color="auto" w:sz="4" w:space="0"/>
              <w:left w:val="single" w:color="auto" w:sz="4" w:space="0"/>
              <w:bottom w:val="single" w:color="auto" w:sz="4" w:space="0"/>
              <w:right w:val="single" w:color="auto" w:sz="4" w:space="0"/>
            </w:tcBorders>
          </w:tcPr>
          <w:p w14:paraId="71356E4F">
            <w:pPr>
              <w:widowControl/>
              <w:spacing w:before="100" w:beforeAutospacing="1" w:after="100" w:afterAutospacing="1" w:line="360" w:lineRule="auto"/>
              <w:jc w:val="center"/>
              <w:rPr>
                <w:rFonts w:eastAsia="仿宋_GB2312"/>
                <w:sz w:val="18"/>
                <w:szCs w:val="18"/>
              </w:rPr>
            </w:pPr>
            <w:r>
              <w:rPr>
                <w:rFonts w:hint="eastAsia" w:eastAsia="仿宋_GB2312"/>
                <w:sz w:val="18"/>
                <w:szCs w:val="18"/>
              </w:rPr>
              <w:t>Numerische Mathematik （计算数学）</w:t>
            </w:r>
          </w:p>
        </w:tc>
        <w:tc>
          <w:tcPr>
            <w:tcW w:w="1980" w:type="dxa"/>
            <w:tcBorders>
              <w:top w:val="single" w:color="auto" w:sz="4" w:space="0"/>
              <w:left w:val="single" w:color="auto" w:sz="4" w:space="0"/>
              <w:bottom w:val="single" w:color="auto" w:sz="4" w:space="0"/>
              <w:right w:val="single" w:color="auto" w:sz="4" w:space="0"/>
            </w:tcBorders>
            <w:vAlign w:val="center"/>
          </w:tcPr>
          <w:p w14:paraId="29D5B11B">
            <w:pPr>
              <w:widowControl/>
              <w:spacing w:before="100" w:beforeAutospacing="1" w:after="100" w:afterAutospacing="1" w:line="360" w:lineRule="auto"/>
              <w:jc w:val="center"/>
              <w:rPr>
                <w:rFonts w:eastAsia="仿宋_GB2312"/>
                <w:sz w:val="18"/>
                <w:szCs w:val="18"/>
              </w:rPr>
            </w:pPr>
          </w:p>
        </w:tc>
        <w:tc>
          <w:tcPr>
            <w:tcW w:w="1440" w:type="dxa"/>
            <w:tcBorders>
              <w:top w:val="single" w:color="auto" w:sz="4" w:space="0"/>
              <w:left w:val="single" w:color="auto" w:sz="4" w:space="0"/>
              <w:bottom w:val="single" w:color="auto" w:sz="4" w:space="0"/>
              <w:right w:val="single" w:color="auto" w:sz="4" w:space="0"/>
            </w:tcBorders>
            <w:vAlign w:val="center"/>
          </w:tcPr>
          <w:p w14:paraId="05F81B93">
            <w:pPr>
              <w:widowControl/>
              <w:spacing w:before="100" w:beforeAutospacing="1" w:after="100" w:afterAutospacing="1" w:line="360" w:lineRule="auto"/>
              <w:jc w:val="center"/>
              <w:rPr>
                <w:rFonts w:eastAsia="仿宋_GB2312"/>
                <w:sz w:val="18"/>
                <w:szCs w:val="18"/>
              </w:rPr>
            </w:pPr>
          </w:p>
        </w:tc>
      </w:tr>
      <w:tr w14:paraId="6D7DAA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1E3B78E3">
            <w:pPr>
              <w:widowControl/>
              <w:spacing w:before="100" w:beforeAutospacing="1" w:after="100" w:afterAutospacing="1"/>
              <w:jc w:val="center"/>
              <w:rPr>
                <w:rFonts w:eastAsia="仿宋_GB2312"/>
                <w:sz w:val="18"/>
                <w:szCs w:val="18"/>
              </w:rPr>
            </w:pPr>
            <w:r>
              <w:rPr>
                <w:rFonts w:hint="eastAsia" w:eastAsia="仿宋_GB2312"/>
                <w:sz w:val="18"/>
                <w:szCs w:val="18"/>
              </w:rPr>
              <w:t>34</w:t>
            </w:r>
          </w:p>
        </w:tc>
        <w:tc>
          <w:tcPr>
            <w:tcW w:w="4680" w:type="dxa"/>
            <w:tcBorders>
              <w:top w:val="single" w:color="auto" w:sz="4" w:space="0"/>
              <w:left w:val="single" w:color="auto" w:sz="4" w:space="0"/>
              <w:bottom w:val="single" w:color="auto" w:sz="4" w:space="0"/>
              <w:right w:val="single" w:color="auto" w:sz="4" w:space="0"/>
            </w:tcBorders>
          </w:tcPr>
          <w:p w14:paraId="6A996A63">
            <w:pPr>
              <w:widowControl/>
              <w:spacing w:before="100" w:beforeAutospacing="1" w:after="100" w:afterAutospacing="1" w:line="360" w:lineRule="auto"/>
              <w:jc w:val="center"/>
              <w:rPr>
                <w:rFonts w:eastAsia="仿宋_GB2312"/>
                <w:sz w:val="18"/>
                <w:szCs w:val="18"/>
              </w:rPr>
            </w:pPr>
            <w:r>
              <w:rPr>
                <w:rFonts w:hint="eastAsia" w:eastAsia="仿宋_GB2312"/>
                <w:sz w:val="18"/>
                <w:szCs w:val="18"/>
              </w:rPr>
              <w:t>Journal of Computational Physisc (计算物理)</w:t>
            </w:r>
          </w:p>
        </w:tc>
        <w:tc>
          <w:tcPr>
            <w:tcW w:w="1980" w:type="dxa"/>
            <w:tcBorders>
              <w:top w:val="single" w:color="auto" w:sz="4" w:space="0"/>
              <w:left w:val="single" w:color="auto" w:sz="4" w:space="0"/>
              <w:bottom w:val="single" w:color="auto" w:sz="4" w:space="0"/>
              <w:right w:val="single" w:color="auto" w:sz="4" w:space="0"/>
            </w:tcBorders>
            <w:vAlign w:val="center"/>
          </w:tcPr>
          <w:p w14:paraId="1A935493">
            <w:pPr>
              <w:widowControl/>
              <w:spacing w:before="100" w:beforeAutospacing="1" w:after="100" w:afterAutospacing="1" w:line="360" w:lineRule="auto"/>
              <w:jc w:val="center"/>
              <w:rPr>
                <w:rFonts w:eastAsia="仿宋_GB2312"/>
                <w:sz w:val="18"/>
                <w:szCs w:val="18"/>
              </w:rPr>
            </w:pPr>
          </w:p>
        </w:tc>
        <w:tc>
          <w:tcPr>
            <w:tcW w:w="1440" w:type="dxa"/>
            <w:tcBorders>
              <w:top w:val="single" w:color="auto" w:sz="4" w:space="0"/>
              <w:left w:val="single" w:color="auto" w:sz="4" w:space="0"/>
              <w:bottom w:val="single" w:color="auto" w:sz="4" w:space="0"/>
              <w:right w:val="single" w:color="auto" w:sz="4" w:space="0"/>
            </w:tcBorders>
            <w:vAlign w:val="center"/>
          </w:tcPr>
          <w:p w14:paraId="21204181">
            <w:pPr>
              <w:widowControl/>
              <w:spacing w:before="100" w:beforeAutospacing="1" w:after="100" w:afterAutospacing="1" w:line="360" w:lineRule="auto"/>
              <w:jc w:val="center"/>
              <w:rPr>
                <w:rFonts w:eastAsia="仿宋_GB2312"/>
                <w:sz w:val="18"/>
                <w:szCs w:val="18"/>
              </w:rPr>
            </w:pPr>
          </w:p>
        </w:tc>
      </w:tr>
      <w:tr w14:paraId="65D101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091182B6">
            <w:pPr>
              <w:widowControl/>
              <w:spacing w:before="100" w:beforeAutospacing="1" w:after="100" w:afterAutospacing="1"/>
              <w:jc w:val="center"/>
              <w:rPr>
                <w:rFonts w:eastAsia="仿宋_GB2312"/>
                <w:sz w:val="18"/>
                <w:szCs w:val="18"/>
              </w:rPr>
            </w:pPr>
            <w:r>
              <w:rPr>
                <w:rFonts w:hint="eastAsia" w:eastAsia="仿宋_GB2312"/>
                <w:sz w:val="18"/>
                <w:szCs w:val="18"/>
              </w:rPr>
              <w:t>35</w:t>
            </w:r>
          </w:p>
        </w:tc>
        <w:tc>
          <w:tcPr>
            <w:tcW w:w="4680" w:type="dxa"/>
            <w:tcBorders>
              <w:top w:val="single" w:color="auto" w:sz="4" w:space="0"/>
              <w:left w:val="single" w:color="auto" w:sz="4" w:space="0"/>
              <w:bottom w:val="single" w:color="auto" w:sz="4" w:space="0"/>
              <w:right w:val="single" w:color="auto" w:sz="4" w:space="0"/>
            </w:tcBorders>
          </w:tcPr>
          <w:p w14:paraId="7FD03517">
            <w:pPr>
              <w:widowControl/>
              <w:spacing w:before="100" w:beforeAutospacing="1" w:after="100" w:afterAutospacing="1" w:line="360" w:lineRule="auto"/>
              <w:jc w:val="center"/>
              <w:rPr>
                <w:rFonts w:eastAsia="仿宋_GB2312"/>
                <w:sz w:val="18"/>
                <w:szCs w:val="18"/>
              </w:rPr>
            </w:pPr>
            <w:r>
              <w:rPr>
                <w:rFonts w:hint="eastAsia" w:eastAsia="仿宋_GB2312"/>
                <w:sz w:val="18"/>
                <w:szCs w:val="18"/>
              </w:rPr>
              <w:t>Journal of Computational and Applied Mathematics （计算与应用数学）</w:t>
            </w:r>
          </w:p>
        </w:tc>
        <w:tc>
          <w:tcPr>
            <w:tcW w:w="1980" w:type="dxa"/>
            <w:tcBorders>
              <w:top w:val="single" w:color="auto" w:sz="4" w:space="0"/>
              <w:left w:val="single" w:color="auto" w:sz="4" w:space="0"/>
              <w:bottom w:val="single" w:color="auto" w:sz="4" w:space="0"/>
              <w:right w:val="single" w:color="auto" w:sz="4" w:space="0"/>
            </w:tcBorders>
            <w:vAlign w:val="center"/>
          </w:tcPr>
          <w:p w14:paraId="71919D4D">
            <w:pPr>
              <w:widowControl/>
              <w:spacing w:before="100" w:beforeAutospacing="1" w:after="100" w:afterAutospacing="1" w:line="360" w:lineRule="auto"/>
              <w:jc w:val="center"/>
              <w:rPr>
                <w:rFonts w:eastAsia="仿宋_GB2312"/>
                <w:sz w:val="18"/>
                <w:szCs w:val="18"/>
              </w:rPr>
            </w:pPr>
          </w:p>
        </w:tc>
        <w:tc>
          <w:tcPr>
            <w:tcW w:w="1440" w:type="dxa"/>
            <w:tcBorders>
              <w:top w:val="single" w:color="auto" w:sz="4" w:space="0"/>
              <w:left w:val="single" w:color="auto" w:sz="4" w:space="0"/>
              <w:bottom w:val="single" w:color="auto" w:sz="4" w:space="0"/>
              <w:right w:val="single" w:color="auto" w:sz="4" w:space="0"/>
            </w:tcBorders>
            <w:vAlign w:val="center"/>
          </w:tcPr>
          <w:p w14:paraId="7A4C8D2D">
            <w:pPr>
              <w:widowControl/>
              <w:spacing w:before="100" w:beforeAutospacing="1" w:after="100" w:afterAutospacing="1" w:line="360" w:lineRule="auto"/>
              <w:jc w:val="center"/>
              <w:rPr>
                <w:rFonts w:eastAsia="仿宋_GB2312"/>
                <w:sz w:val="18"/>
                <w:szCs w:val="18"/>
              </w:rPr>
            </w:pPr>
          </w:p>
        </w:tc>
      </w:tr>
      <w:tr w14:paraId="7FCE05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1E311CE7">
            <w:pPr>
              <w:widowControl/>
              <w:spacing w:before="100" w:beforeAutospacing="1" w:after="100" w:afterAutospacing="1"/>
              <w:jc w:val="center"/>
              <w:rPr>
                <w:rFonts w:eastAsia="仿宋_GB2312"/>
                <w:sz w:val="18"/>
                <w:szCs w:val="18"/>
              </w:rPr>
            </w:pPr>
            <w:r>
              <w:rPr>
                <w:rFonts w:hint="eastAsia" w:eastAsia="仿宋_GB2312"/>
                <w:sz w:val="18"/>
                <w:szCs w:val="18"/>
              </w:rPr>
              <w:t>36</w:t>
            </w:r>
          </w:p>
        </w:tc>
        <w:tc>
          <w:tcPr>
            <w:tcW w:w="4680" w:type="dxa"/>
            <w:tcBorders>
              <w:top w:val="single" w:color="auto" w:sz="4" w:space="0"/>
              <w:left w:val="single" w:color="auto" w:sz="4" w:space="0"/>
              <w:bottom w:val="single" w:color="auto" w:sz="4" w:space="0"/>
              <w:right w:val="single" w:color="auto" w:sz="4" w:space="0"/>
            </w:tcBorders>
          </w:tcPr>
          <w:p w14:paraId="5D2E7D05">
            <w:pPr>
              <w:widowControl/>
              <w:spacing w:before="100" w:beforeAutospacing="1" w:after="100" w:afterAutospacing="1" w:line="360" w:lineRule="auto"/>
              <w:jc w:val="center"/>
              <w:rPr>
                <w:rFonts w:eastAsia="仿宋_GB2312"/>
                <w:sz w:val="18"/>
                <w:szCs w:val="18"/>
              </w:rPr>
            </w:pPr>
            <w:r>
              <w:rPr>
                <w:rFonts w:hint="eastAsia" w:eastAsia="仿宋_GB2312"/>
                <w:sz w:val="18"/>
                <w:szCs w:val="18"/>
              </w:rPr>
              <w:t>Inverse Problems （反问题）</w:t>
            </w:r>
          </w:p>
        </w:tc>
        <w:tc>
          <w:tcPr>
            <w:tcW w:w="1980" w:type="dxa"/>
            <w:tcBorders>
              <w:top w:val="single" w:color="auto" w:sz="4" w:space="0"/>
              <w:left w:val="single" w:color="auto" w:sz="4" w:space="0"/>
              <w:bottom w:val="single" w:color="auto" w:sz="4" w:space="0"/>
              <w:right w:val="single" w:color="auto" w:sz="4" w:space="0"/>
            </w:tcBorders>
            <w:vAlign w:val="center"/>
          </w:tcPr>
          <w:p w14:paraId="5B7EFE02">
            <w:pPr>
              <w:widowControl/>
              <w:spacing w:before="100" w:beforeAutospacing="1" w:after="100" w:afterAutospacing="1" w:line="360" w:lineRule="auto"/>
              <w:jc w:val="center"/>
              <w:rPr>
                <w:rFonts w:eastAsia="仿宋_GB2312"/>
                <w:sz w:val="18"/>
                <w:szCs w:val="18"/>
              </w:rPr>
            </w:pPr>
          </w:p>
        </w:tc>
        <w:tc>
          <w:tcPr>
            <w:tcW w:w="1440" w:type="dxa"/>
            <w:tcBorders>
              <w:top w:val="single" w:color="auto" w:sz="4" w:space="0"/>
              <w:left w:val="single" w:color="auto" w:sz="4" w:space="0"/>
              <w:bottom w:val="single" w:color="auto" w:sz="4" w:space="0"/>
              <w:right w:val="single" w:color="auto" w:sz="4" w:space="0"/>
            </w:tcBorders>
            <w:vAlign w:val="center"/>
          </w:tcPr>
          <w:p w14:paraId="31E380B9">
            <w:pPr>
              <w:widowControl/>
              <w:spacing w:before="100" w:beforeAutospacing="1" w:after="100" w:afterAutospacing="1" w:line="360" w:lineRule="auto"/>
              <w:jc w:val="center"/>
              <w:rPr>
                <w:rFonts w:eastAsia="仿宋_GB2312"/>
                <w:sz w:val="18"/>
                <w:szCs w:val="18"/>
              </w:rPr>
            </w:pPr>
          </w:p>
        </w:tc>
      </w:tr>
    </w:tbl>
    <w:p w14:paraId="4B7ADC68">
      <w:pPr>
        <w:snapToGrid w:val="0"/>
        <w:spacing w:line="360" w:lineRule="auto"/>
        <w:rPr>
          <w:rFonts w:eastAsia="黑体"/>
          <w:bCs/>
          <w:color w:val="000000"/>
          <w:sz w:val="28"/>
          <w:szCs w:val="28"/>
        </w:rPr>
      </w:pPr>
    </w:p>
    <w:p w14:paraId="43666DE7">
      <w:pPr>
        <w:snapToGrid w:val="0"/>
        <w:spacing w:line="360" w:lineRule="auto"/>
        <w:ind w:firstLine="4270" w:firstLineChars="1525"/>
        <w:rPr>
          <w:rFonts w:eastAsia="楷体"/>
          <w:color w:val="000000"/>
          <w:sz w:val="28"/>
          <w:szCs w:val="28"/>
        </w:rPr>
      </w:pPr>
      <w:r>
        <w:rPr>
          <w:rFonts w:eastAsia="黑体"/>
          <w:bCs/>
          <w:color w:val="000000"/>
          <w:sz w:val="28"/>
          <w:szCs w:val="28"/>
        </w:rPr>
        <w:t>负责人</w:t>
      </w:r>
      <w:r>
        <w:rPr>
          <w:rFonts w:hint="eastAsia" w:eastAsia="黑体"/>
          <w:bCs/>
          <w:color w:val="000000"/>
          <w:sz w:val="28"/>
          <w:szCs w:val="28"/>
        </w:rPr>
        <w:t>：</w:t>
      </w:r>
    </w:p>
    <w:p w14:paraId="4B9314E1">
      <w:pPr>
        <w:spacing w:line="360" w:lineRule="auto"/>
        <w:jc w:val="right"/>
        <w:rPr>
          <w:rFonts w:eastAsia="仿宋_GB2312"/>
          <w:color w:val="000000"/>
          <w:sz w:val="28"/>
          <w:szCs w:val="28"/>
        </w:rPr>
      </w:pPr>
      <w:r>
        <w:rPr>
          <w:rFonts w:eastAsia="仿宋_GB2312"/>
          <w:color w:val="000000"/>
          <w:sz w:val="28"/>
          <w:szCs w:val="28"/>
        </w:rPr>
        <w:t>修订</w:t>
      </w:r>
      <w:r>
        <w:rPr>
          <w:rFonts w:eastAsia="仿宋_GB2312"/>
          <w:color w:val="000000"/>
          <w:sz w:val="28"/>
          <w:szCs w:val="28"/>
          <w:lang w:eastAsia="zh-TW"/>
        </w:rPr>
        <w:t>日期：</w:t>
      </w:r>
      <w:r>
        <w:rPr>
          <w:rFonts w:eastAsia="仿宋_GB2312"/>
          <w:color w:val="000000"/>
          <w:sz w:val="28"/>
          <w:szCs w:val="28"/>
        </w:rPr>
        <w:t>　　</w:t>
      </w:r>
      <w:r>
        <w:rPr>
          <w:rFonts w:eastAsia="仿宋_GB2312"/>
          <w:color w:val="000000"/>
          <w:sz w:val="28"/>
          <w:szCs w:val="28"/>
          <w:lang w:eastAsia="zh-TW"/>
        </w:rPr>
        <w:t>年</w:t>
      </w:r>
      <w:r>
        <w:rPr>
          <w:rFonts w:eastAsia="仿宋_GB2312"/>
          <w:color w:val="000000"/>
          <w:sz w:val="28"/>
          <w:szCs w:val="28"/>
        </w:rPr>
        <w:t xml:space="preserve">    </w:t>
      </w:r>
      <w:r>
        <w:rPr>
          <w:rFonts w:eastAsia="仿宋_GB2312"/>
          <w:color w:val="000000"/>
          <w:sz w:val="28"/>
          <w:szCs w:val="28"/>
          <w:lang w:eastAsia="zh-TW"/>
        </w:rPr>
        <w:t>月</w:t>
      </w:r>
      <w:r>
        <w:rPr>
          <w:rFonts w:eastAsia="仿宋_GB2312"/>
          <w:color w:val="000000"/>
          <w:sz w:val="28"/>
          <w:szCs w:val="28"/>
        </w:rPr>
        <w:t xml:space="preserve">    </w:t>
      </w:r>
      <w:r>
        <w:rPr>
          <w:rFonts w:eastAsia="仿宋_GB2312"/>
          <w:color w:val="000000"/>
          <w:sz w:val="28"/>
          <w:szCs w:val="28"/>
          <w:lang w:eastAsia="zh-TW"/>
        </w:rPr>
        <w:t>日</w:t>
      </w:r>
    </w:p>
    <w:p w14:paraId="11DDD7A8">
      <w:pPr>
        <w:spacing w:line="360" w:lineRule="auto"/>
        <w:jc w:val="right"/>
        <w:rPr>
          <w:rFonts w:eastAsia="PMingLiU"/>
          <w:color w:val="000000"/>
          <w:sz w:val="28"/>
          <w:szCs w:val="28"/>
        </w:rPr>
        <w:sectPr>
          <w:footerReference r:id="rId5" w:type="first"/>
          <w:footerReference r:id="rId3" w:type="default"/>
          <w:footerReference r:id="rId4" w:type="even"/>
          <w:pgSz w:w="11906" w:h="16838"/>
          <w:pgMar w:top="1418" w:right="1418" w:bottom="1418" w:left="1418" w:header="851" w:footer="1531" w:gutter="0"/>
          <w:cols w:space="425" w:num="1"/>
          <w:docGrid w:type="lines" w:linePitch="312" w:charSpace="0"/>
        </w:sectPr>
      </w:pPr>
    </w:p>
    <w:p w14:paraId="3B8AAF2E">
      <w:pPr>
        <w:spacing w:line="360" w:lineRule="auto"/>
        <w:jc w:val="center"/>
        <w:rPr>
          <w:rFonts w:hint="eastAsia" w:ascii="黑体" w:hAnsi="黑体" w:eastAsia="黑体"/>
          <w:color w:val="000000"/>
          <w:sz w:val="32"/>
          <w:szCs w:val="32"/>
        </w:rPr>
      </w:pPr>
      <w:r>
        <w:rPr>
          <w:rFonts w:hint="eastAsia" w:ascii="黑体" w:hAnsi="黑体" w:eastAsia="黑体"/>
          <w:color w:val="000000"/>
          <w:sz w:val="32"/>
          <w:szCs w:val="32"/>
        </w:rPr>
        <w:t>附  录</w:t>
      </w:r>
    </w:p>
    <w:p w14:paraId="526F5A8A">
      <w:pPr>
        <w:spacing w:line="360" w:lineRule="auto"/>
        <w:rPr>
          <w:rFonts w:hint="eastAsia" w:ascii="仿宋_GB2312" w:hAnsi="黑体" w:eastAsia="仿宋_GB2312"/>
          <w:b/>
          <w:bCs/>
          <w:color w:val="000000"/>
          <w:sz w:val="28"/>
          <w:szCs w:val="28"/>
        </w:rPr>
      </w:pPr>
      <w:r>
        <w:rPr>
          <w:rFonts w:hint="eastAsia" w:ascii="仿宋_GB2312" w:hAnsi="黑体" w:eastAsia="仿宋_GB2312"/>
          <w:b/>
          <w:bCs/>
          <w:color w:val="000000"/>
          <w:sz w:val="28"/>
          <w:szCs w:val="28"/>
        </w:rPr>
        <w:t xml:space="preserve">附录A </w:t>
      </w:r>
      <w:bookmarkStart w:id="4" w:name="_Hlk167703301"/>
      <w:r>
        <w:rPr>
          <w:rFonts w:hint="eastAsia" w:ascii="仿宋_GB2312" w:hAnsi="黑体" w:eastAsia="仿宋_GB2312"/>
          <w:b/>
          <w:bCs/>
          <w:color w:val="000000"/>
          <w:sz w:val="28"/>
          <w:szCs w:val="28"/>
        </w:rPr>
        <w:t>数学学院</w:t>
      </w:r>
      <w:bookmarkEnd w:id="4"/>
      <w:r>
        <w:rPr>
          <w:rFonts w:hint="eastAsia" w:ascii="仿宋_GB2312" w:hAnsi="黑体" w:eastAsia="仿宋_GB2312"/>
          <w:b/>
          <w:bCs/>
          <w:color w:val="000000"/>
          <w:sz w:val="28"/>
          <w:szCs w:val="28"/>
        </w:rPr>
        <w:t>数学连贯培养研究生选课要求</w:t>
      </w:r>
    </w:p>
    <w:p w14:paraId="14F15061">
      <w:pPr>
        <w:spacing w:line="500" w:lineRule="exact"/>
        <w:ind w:firstLine="560" w:firstLineChars="200"/>
        <w:rPr>
          <w:rFonts w:eastAsia="仿宋_GB2312"/>
          <w:sz w:val="28"/>
          <w:szCs w:val="28"/>
        </w:rPr>
      </w:pPr>
      <w:r>
        <w:rPr>
          <w:rFonts w:hint="eastAsia" w:eastAsia="仿宋_GB2312"/>
          <w:sz w:val="28"/>
          <w:szCs w:val="28"/>
        </w:rPr>
        <w:t>数学学院连贯培养研究生根据学科方向分别必须修读下述4门课程，且课程成绩合格，方可进入博士生培养阶段的学习。基础数学方向连贯培养研究生必须修读《泛函分析Ⅱ》《黎曼几何》《交换代数》《偏微分方程》；概率论与数理统计方向连贯培养研究生必须修读《泛函分析Ⅱ》《高等概率论》《高等统计》《随机过程导论》；计算数学与应用数学方向连贯培养研究生必修修读《泛函分析Ⅱ》《凸优化理论》《矩阵分析》《人工智能算法基础》；运筹学与控制论方向连贯培养研究生必须修读《泛函分析Ⅱ》《控制理论导论》《随机运筹学》《算法设计与复杂性》。</w:t>
      </w:r>
    </w:p>
    <w:p w14:paraId="3D4BCDCF">
      <w:pPr>
        <w:spacing w:line="360" w:lineRule="auto"/>
        <w:rPr>
          <w:rFonts w:hint="eastAsia" w:ascii="仿宋_GB2312" w:hAnsi="黑体" w:eastAsia="仿宋_GB2312"/>
          <w:b/>
          <w:bCs/>
          <w:color w:val="000000"/>
          <w:sz w:val="28"/>
          <w:szCs w:val="28"/>
        </w:rPr>
        <w:sectPr>
          <w:pgSz w:w="11906" w:h="16838"/>
          <w:pgMar w:top="1418" w:right="1418" w:bottom="1418" w:left="1418" w:header="851" w:footer="1531" w:gutter="0"/>
          <w:cols w:space="425" w:num="1"/>
          <w:docGrid w:type="lines" w:linePitch="312" w:charSpace="0"/>
        </w:sectPr>
      </w:pPr>
    </w:p>
    <w:p w14:paraId="490C93B0">
      <w:pPr>
        <w:spacing w:line="360" w:lineRule="auto"/>
        <w:rPr>
          <w:rFonts w:hint="eastAsia" w:ascii="仿宋_GB2312" w:hAnsi="黑体" w:eastAsia="仿宋_GB2312"/>
          <w:b/>
          <w:bCs/>
          <w:color w:val="000000"/>
          <w:sz w:val="28"/>
          <w:szCs w:val="28"/>
        </w:rPr>
      </w:pPr>
      <w:r>
        <w:rPr>
          <w:rFonts w:hint="eastAsia" w:ascii="仿宋_GB2312" w:hAnsi="黑体" w:eastAsia="仿宋_GB2312"/>
          <w:b/>
          <w:bCs/>
          <w:color w:val="000000"/>
          <w:sz w:val="28"/>
          <w:szCs w:val="28"/>
        </w:rPr>
        <w:t>附录B 数学学院（珠海）数学连贯培养研究生选课要求</w:t>
      </w:r>
    </w:p>
    <w:p w14:paraId="028A9218">
      <w:pPr>
        <w:spacing w:line="50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课程类型包括必修课程和选修课程，其中必修课程包括公共必修课、专业基础课和专业课；专业基础课和专业课分为分析类、几何类、代数类、计算数学类。硕士阶段应至少选择1门专业基础课（学术规范与论文写作除外），专业基础课和专业课选课应包含不少于两类（分析类、几何类、代数类、计算数学类）课程，博士阶段专业基础课（现代数学基础）为必选课程，其余专业课征求导师意见在其余的专业必修课、专业选修课中选择。</w:t>
      </w:r>
    </w:p>
    <w:p w14:paraId="19135D51">
      <w:pPr>
        <w:spacing w:line="50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如本科阶段未学过泛函分析、实变函数、代数学课程的学生，必须选其中一门课程，并参与期中期末考试。本科课程不计入硕士阶段学分。</w:t>
      </w:r>
    </w:p>
    <w:p w14:paraId="16EFA18E">
      <w:pPr>
        <w:spacing w:line="50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（1）分析类课程</w:t>
      </w:r>
    </w:p>
    <w:p w14:paraId="021586C0">
      <w:pPr>
        <w:spacing w:line="50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泛函分析Ⅱ</w:t>
      </w:r>
      <w:r>
        <w:rPr>
          <w:rFonts w:hint="eastAsia" w:ascii="仿宋_GB2312" w:hAnsi="仿宋_GB2312" w:eastAsia="仿宋_GB2312" w:cs="仿宋_GB2312"/>
          <w:bCs/>
          <w:sz w:val="40"/>
          <w:szCs w:val="40"/>
          <w:vertAlign w:val="superscript"/>
        </w:rPr>
        <w:t>*</w:t>
      </w:r>
      <w:r>
        <w:rPr>
          <w:rFonts w:hint="eastAsia" w:ascii="仿宋_GB2312" w:hAnsi="仿宋_GB2312" w:eastAsia="仿宋_GB2312" w:cs="仿宋_GB2312"/>
          <w:bCs/>
          <w:sz w:val="28"/>
          <w:szCs w:val="28"/>
        </w:rPr>
        <w:t>（MAZ5201）  微分动力系统（MAZ5202）  现代偏微分方程（MAZ5204）  现代常微分方程定性理论（MAZ5205）  实分析</w:t>
      </w:r>
      <w:r>
        <w:rPr>
          <w:rFonts w:hint="eastAsia" w:ascii="仿宋_GB2312" w:hAnsi="仿宋_GB2312" w:eastAsia="仿宋_GB2312" w:cs="仿宋_GB2312"/>
          <w:bCs/>
          <w:sz w:val="40"/>
          <w:szCs w:val="40"/>
          <w:vertAlign w:val="superscript"/>
        </w:rPr>
        <w:t>*</w:t>
      </w:r>
      <w:r>
        <w:rPr>
          <w:rFonts w:hint="eastAsia" w:ascii="仿宋_GB2312" w:hAnsi="仿宋_GB2312" w:eastAsia="仿宋_GB2312" w:cs="仿宋_GB2312"/>
          <w:bCs/>
          <w:sz w:val="28"/>
          <w:szCs w:val="28"/>
        </w:rPr>
        <w:t>（MAZ5206）</w:t>
      </w:r>
    </w:p>
    <w:p w14:paraId="0EDF3624">
      <w:pPr>
        <w:spacing w:line="50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（2）几何类课程</w:t>
      </w:r>
    </w:p>
    <w:p w14:paraId="242CB403">
      <w:pPr>
        <w:spacing w:line="50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微分流形</w:t>
      </w:r>
      <w:r>
        <w:rPr>
          <w:rFonts w:hint="eastAsia" w:ascii="仿宋_GB2312" w:hAnsi="仿宋_GB2312" w:eastAsia="仿宋_GB2312" w:cs="仿宋_GB2312"/>
          <w:bCs/>
          <w:sz w:val="40"/>
          <w:szCs w:val="40"/>
          <w:vertAlign w:val="superscript"/>
        </w:rPr>
        <w:t>*</w:t>
      </w:r>
      <w:r>
        <w:rPr>
          <w:rFonts w:hint="eastAsia" w:ascii="仿宋_GB2312" w:hAnsi="仿宋_GB2312" w:eastAsia="仿宋_GB2312" w:cs="仿宋_GB2312"/>
          <w:bCs/>
          <w:sz w:val="28"/>
          <w:szCs w:val="28"/>
        </w:rPr>
        <w:t>（MAZ5212）  黎曼几何（MAZ5208）</w:t>
      </w:r>
    </w:p>
    <w:p w14:paraId="620292A8">
      <w:pPr>
        <w:spacing w:line="50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（3）代数类课程</w:t>
      </w:r>
    </w:p>
    <w:p w14:paraId="17C12062">
      <w:pPr>
        <w:spacing w:line="50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代数学Ⅱ</w:t>
      </w:r>
      <w:r>
        <w:rPr>
          <w:rFonts w:hint="eastAsia" w:ascii="仿宋_GB2312" w:hAnsi="仿宋_GB2312" w:eastAsia="仿宋_GB2312" w:cs="仿宋_GB2312"/>
          <w:bCs/>
          <w:sz w:val="40"/>
          <w:szCs w:val="40"/>
          <w:vertAlign w:val="superscript"/>
        </w:rPr>
        <w:t>*</w:t>
      </w:r>
      <w:r>
        <w:rPr>
          <w:rFonts w:hint="eastAsia" w:ascii="仿宋_GB2312" w:hAnsi="仿宋_GB2312" w:eastAsia="仿宋_GB2312" w:cs="仿宋_GB2312"/>
          <w:bCs/>
          <w:sz w:val="28"/>
          <w:szCs w:val="28"/>
        </w:rPr>
        <w:t xml:space="preserve">（MAZ5213） </w:t>
      </w:r>
      <w:r>
        <w:rPr>
          <w:rFonts w:ascii="仿宋_GB2312" w:hAnsi="仿宋_GB2312" w:eastAsia="仿宋_GB2312" w:cs="仿宋_GB2312"/>
          <w:bCs/>
          <w:sz w:val="28"/>
          <w:szCs w:val="28"/>
        </w:rPr>
        <w:t xml:space="preserve"> </w:t>
      </w:r>
      <w:r>
        <w:rPr>
          <w:rFonts w:hint="eastAsia" w:ascii="仿宋_GB2312" w:hAnsi="仿宋_GB2312" w:eastAsia="仿宋_GB2312" w:cs="仿宋_GB2312"/>
          <w:bCs/>
          <w:sz w:val="28"/>
          <w:szCs w:val="28"/>
        </w:rPr>
        <w:t>数论选讲（</w:t>
      </w:r>
      <w:r>
        <w:rPr>
          <w:rFonts w:ascii="仿宋_GB2312" w:hAnsi="仿宋_GB2312" w:eastAsia="仿宋_GB2312" w:cs="仿宋_GB2312"/>
          <w:bCs/>
          <w:sz w:val="28"/>
          <w:szCs w:val="28"/>
        </w:rPr>
        <w:t>MAZ5214</w:t>
      </w:r>
      <w:r>
        <w:rPr>
          <w:rFonts w:hint="eastAsia" w:ascii="仿宋_GB2312" w:hAnsi="仿宋_GB2312" w:eastAsia="仿宋_GB2312" w:cs="仿宋_GB2312"/>
          <w:bCs/>
          <w:sz w:val="28"/>
          <w:szCs w:val="28"/>
        </w:rPr>
        <w:t>）</w:t>
      </w:r>
    </w:p>
    <w:p w14:paraId="670411E9">
      <w:pPr>
        <w:spacing w:line="50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（4）计算数学类课程</w:t>
      </w:r>
    </w:p>
    <w:p w14:paraId="22300E55">
      <w:pPr>
        <w:spacing w:line="50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矩阵分析</w:t>
      </w:r>
      <w:r>
        <w:rPr>
          <w:rFonts w:hint="eastAsia" w:ascii="仿宋_GB2312" w:hAnsi="仿宋_GB2312" w:eastAsia="仿宋_GB2312" w:cs="仿宋_GB2312"/>
          <w:bCs/>
          <w:sz w:val="40"/>
          <w:szCs w:val="40"/>
          <w:vertAlign w:val="superscript"/>
        </w:rPr>
        <w:t>*</w:t>
      </w:r>
      <w:r>
        <w:rPr>
          <w:rFonts w:hint="eastAsia" w:ascii="仿宋_GB2312" w:hAnsi="仿宋_GB2312" w:eastAsia="仿宋_GB2312" w:cs="仿宋_GB2312"/>
          <w:bCs/>
          <w:sz w:val="28"/>
          <w:szCs w:val="28"/>
        </w:rPr>
        <w:t>（MAZ5210）  高等数值分析（MAZ5211）</w:t>
      </w:r>
    </w:p>
    <w:p w14:paraId="28A2A1EE">
      <w:pPr>
        <w:spacing w:line="500" w:lineRule="exact"/>
        <w:ind w:firstLine="560" w:firstLineChars="200"/>
        <w:rPr>
          <w:rFonts w:hint="eastAsia" w:ascii="仿宋_GB2312" w:hAnsi="仿宋_GB2312" w:eastAsia="仿宋_GB2312" w:cs="仿宋_GB2312"/>
          <w:bCs/>
          <w:sz w:val="28"/>
          <w:szCs w:val="28"/>
          <w:u w:val="single"/>
        </w:rPr>
      </w:pPr>
      <w:r>
        <w:rPr>
          <w:rFonts w:hint="eastAsia" w:ascii="仿宋_GB2312" w:hAnsi="仿宋_GB2312" w:eastAsia="仿宋_GB2312" w:cs="仿宋_GB2312"/>
          <w:bCs/>
          <w:sz w:val="28"/>
          <w:szCs w:val="28"/>
          <w:u w:val="single"/>
        </w:rPr>
        <w:t>注1：标注*为专业基础课</w:t>
      </w:r>
    </w:p>
    <w:p w14:paraId="022AF325">
      <w:pPr>
        <w:spacing w:line="500" w:lineRule="exact"/>
        <w:ind w:firstLine="560" w:firstLineChars="200"/>
        <w:rPr>
          <w:rFonts w:hint="eastAsia" w:ascii="仿宋_GB2312" w:hAnsi="仿宋_GB2312" w:eastAsia="仿宋_GB2312" w:cs="仿宋_GB2312"/>
          <w:bCs/>
          <w:sz w:val="28"/>
          <w:szCs w:val="28"/>
          <w:u w:val="single"/>
        </w:rPr>
      </w:pPr>
      <w:r>
        <w:rPr>
          <w:rFonts w:hint="eastAsia" w:ascii="仿宋_GB2312" w:hAnsi="仿宋_GB2312" w:eastAsia="仿宋_GB2312" w:cs="仿宋_GB2312"/>
          <w:bCs/>
          <w:sz w:val="28"/>
          <w:szCs w:val="28"/>
          <w:u w:val="single"/>
        </w:rPr>
        <w:t>注2：建议选修《泛函分析Ⅱ》前完成《泛函分析》课程学习，选修《代数学Ⅱ》前完成《代数学》课程学习，选修《实分析》前完成《实变函数》课程学习，选修《黎曼几何》前完成《微分流形》课程学习。</w:t>
      </w:r>
    </w:p>
    <w:p w14:paraId="44BE7116">
      <w:pPr>
        <w:spacing w:line="360" w:lineRule="auto"/>
        <w:rPr>
          <w:rFonts w:hint="eastAsia" w:ascii="仿宋_GB2312" w:hAnsi="黑体" w:eastAsia="仿宋_GB2312"/>
          <w:b/>
          <w:bCs/>
          <w:color w:val="000000"/>
          <w:sz w:val="28"/>
          <w:szCs w:val="28"/>
        </w:rPr>
      </w:pPr>
    </w:p>
    <w:sectPr>
      <w:pgSz w:w="11906" w:h="16838"/>
      <w:pgMar w:top="1418" w:right="1418" w:bottom="1418" w:left="1418" w:header="851" w:footer="1531"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PMingLiU">
    <w:altName w:val="Microsoft JhengHei UI"/>
    <w:panose1 w:val="02010601000101010101"/>
    <w:charset w:val="88"/>
    <w:family w:val="roman"/>
    <w:pitch w:val="default"/>
    <w:sig w:usb0="00000000" w:usb1="00000000" w:usb2="00000016" w:usb3="00000000" w:csb0="0010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Microsoft JhengHei UI">
    <w:panose1 w:val="020B0604030504040204"/>
    <w:charset w:val="88"/>
    <w:family w:val="auto"/>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182DBF">
    <w:pPr>
      <w:pStyle w:val="12"/>
      <w:framePr w:wrap="around"/>
      <w:ind w:firstLine="270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98B87D">
    <w:pPr>
      <w:pStyle w:val="12"/>
      <w:framePr w:wrap="around"/>
      <w:ind w:firstLine="2700"/>
      <w:rPr>
        <w:rStyle w:val="21"/>
      </w:rPr>
    </w:pPr>
    <w:r>
      <w:rPr>
        <w:rStyle w:val="21"/>
      </w:rPr>
      <w:fldChar w:fldCharType="begin"/>
    </w:r>
    <w:r>
      <w:rPr>
        <w:rStyle w:val="21"/>
      </w:rPr>
      <w:instrText xml:space="preserve">PAGE  </w:instrText>
    </w:r>
    <w:r>
      <w:rPr>
        <w:rStyle w:val="21"/>
      </w:rPr>
      <w:fldChar w:fldCharType="separate"/>
    </w:r>
    <w:r>
      <w:rPr>
        <w:rStyle w:val="21"/>
      </w:rPr>
      <w:t>1</w:t>
    </w:r>
    <w:r>
      <w:rPr>
        <w:rStyle w:val="21"/>
      </w:rPr>
      <w:fldChar w:fldCharType="end"/>
    </w:r>
  </w:p>
  <w:p w14:paraId="03EA66A9">
    <w:pPr>
      <w:pStyle w:val="12"/>
      <w:framePr w:wrap="around"/>
      <w:ind w:firstLine="270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62377A">
    <w:pPr>
      <w:pStyle w:val="12"/>
      <w:framePr w:wrap="around"/>
      <w:ind w:firstLine="270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CBD726C"/>
    <w:multiLevelType w:val="singleLevel"/>
    <w:tmpl w:val="6CBD726C"/>
    <w:lvl w:ilvl="0" w:tentative="0">
      <w:start w:val="1"/>
      <w:numFmt w:val="chineseCounting"/>
      <w:suff w:val="nothing"/>
      <w:lvlText w:val="%1、"/>
      <w:lvlJc w:val="left"/>
      <w:pPr>
        <w:ind w:left="147" w:firstLine="420"/>
      </w:pPr>
      <w:rPr>
        <w:rFonts w:hint="eastAsia"/>
        <w:lang w:val="en-U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ZiZjgzODdlYmY2ZGJkZDc4NTNlN2Q4MTI5NzlhYjMifQ=="/>
  </w:docVars>
  <w:rsids>
    <w:rsidRoot w:val="006B3C32"/>
    <w:rsid w:val="00004F0E"/>
    <w:rsid w:val="00005643"/>
    <w:rsid w:val="00006388"/>
    <w:rsid w:val="000128B1"/>
    <w:rsid w:val="00013F98"/>
    <w:rsid w:val="000221D2"/>
    <w:rsid w:val="00033124"/>
    <w:rsid w:val="00035FEC"/>
    <w:rsid w:val="00036891"/>
    <w:rsid w:val="00041879"/>
    <w:rsid w:val="000457AC"/>
    <w:rsid w:val="00057D81"/>
    <w:rsid w:val="000603B7"/>
    <w:rsid w:val="000604DB"/>
    <w:rsid w:val="000621C0"/>
    <w:rsid w:val="000667A5"/>
    <w:rsid w:val="000864B0"/>
    <w:rsid w:val="00097560"/>
    <w:rsid w:val="000A3805"/>
    <w:rsid w:val="000A41D8"/>
    <w:rsid w:val="000A670B"/>
    <w:rsid w:val="000B0A87"/>
    <w:rsid w:val="000B2BDC"/>
    <w:rsid w:val="000C3570"/>
    <w:rsid w:val="000C78BD"/>
    <w:rsid w:val="000E091C"/>
    <w:rsid w:val="000E7CA7"/>
    <w:rsid w:val="000F3E0C"/>
    <w:rsid w:val="0010161C"/>
    <w:rsid w:val="00103BCA"/>
    <w:rsid w:val="00105A4F"/>
    <w:rsid w:val="00105F92"/>
    <w:rsid w:val="00107292"/>
    <w:rsid w:val="001078F2"/>
    <w:rsid w:val="00111C30"/>
    <w:rsid w:val="00120C95"/>
    <w:rsid w:val="00121903"/>
    <w:rsid w:val="00125AA1"/>
    <w:rsid w:val="00125BB7"/>
    <w:rsid w:val="00126E65"/>
    <w:rsid w:val="00136150"/>
    <w:rsid w:val="0014300C"/>
    <w:rsid w:val="00145059"/>
    <w:rsid w:val="00147ACF"/>
    <w:rsid w:val="00155BE6"/>
    <w:rsid w:val="001604EC"/>
    <w:rsid w:val="00171ABF"/>
    <w:rsid w:val="00185E5C"/>
    <w:rsid w:val="001930AA"/>
    <w:rsid w:val="00196731"/>
    <w:rsid w:val="001A250C"/>
    <w:rsid w:val="001A5536"/>
    <w:rsid w:val="001A736C"/>
    <w:rsid w:val="001B269D"/>
    <w:rsid w:val="001B4E84"/>
    <w:rsid w:val="001C3982"/>
    <w:rsid w:val="001D1583"/>
    <w:rsid w:val="001D2472"/>
    <w:rsid w:val="001D7C5C"/>
    <w:rsid w:val="001E423A"/>
    <w:rsid w:val="001E5497"/>
    <w:rsid w:val="001E7DB4"/>
    <w:rsid w:val="001F3B93"/>
    <w:rsid w:val="001F77AB"/>
    <w:rsid w:val="0020099D"/>
    <w:rsid w:val="00200CA8"/>
    <w:rsid w:val="00202803"/>
    <w:rsid w:val="00224DB4"/>
    <w:rsid w:val="0022507C"/>
    <w:rsid w:val="00233329"/>
    <w:rsid w:val="00236C15"/>
    <w:rsid w:val="002370CC"/>
    <w:rsid w:val="002416A5"/>
    <w:rsid w:val="002459C4"/>
    <w:rsid w:val="00246C03"/>
    <w:rsid w:val="00251A08"/>
    <w:rsid w:val="00255BB8"/>
    <w:rsid w:val="00261584"/>
    <w:rsid w:val="00261E5C"/>
    <w:rsid w:val="002762B4"/>
    <w:rsid w:val="0029266E"/>
    <w:rsid w:val="0029640E"/>
    <w:rsid w:val="00297C1F"/>
    <w:rsid w:val="002A4B1D"/>
    <w:rsid w:val="002A7633"/>
    <w:rsid w:val="002A7FAE"/>
    <w:rsid w:val="002B20C0"/>
    <w:rsid w:val="002C55EA"/>
    <w:rsid w:val="002D2B87"/>
    <w:rsid w:val="002D4704"/>
    <w:rsid w:val="002D6540"/>
    <w:rsid w:val="002E2C4A"/>
    <w:rsid w:val="002E4461"/>
    <w:rsid w:val="002F19E4"/>
    <w:rsid w:val="002F267E"/>
    <w:rsid w:val="002F50EA"/>
    <w:rsid w:val="002F5570"/>
    <w:rsid w:val="00306436"/>
    <w:rsid w:val="00306A09"/>
    <w:rsid w:val="003102D9"/>
    <w:rsid w:val="00311F32"/>
    <w:rsid w:val="00314364"/>
    <w:rsid w:val="0032144A"/>
    <w:rsid w:val="00321CBF"/>
    <w:rsid w:val="00324FAD"/>
    <w:rsid w:val="003266F7"/>
    <w:rsid w:val="00332329"/>
    <w:rsid w:val="00333B84"/>
    <w:rsid w:val="003403D3"/>
    <w:rsid w:val="00345CD5"/>
    <w:rsid w:val="003558C4"/>
    <w:rsid w:val="00355E8F"/>
    <w:rsid w:val="003606C2"/>
    <w:rsid w:val="003615C2"/>
    <w:rsid w:val="003615E4"/>
    <w:rsid w:val="00361DEC"/>
    <w:rsid w:val="003773FA"/>
    <w:rsid w:val="003775EE"/>
    <w:rsid w:val="00383553"/>
    <w:rsid w:val="00392610"/>
    <w:rsid w:val="003A4EEB"/>
    <w:rsid w:val="003A7544"/>
    <w:rsid w:val="003A76CD"/>
    <w:rsid w:val="003B14D3"/>
    <w:rsid w:val="003B6D0E"/>
    <w:rsid w:val="003C5713"/>
    <w:rsid w:val="003C61BF"/>
    <w:rsid w:val="003C6E02"/>
    <w:rsid w:val="003D23E8"/>
    <w:rsid w:val="003D5A64"/>
    <w:rsid w:val="003E55F8"/>
    <w:rsid w:val="003E75F3"/>
    <w:rsid w:val="00400970"/>
    <w:rsid w:val="0040269E"/>
    <w:rsid w:val="00403F82"/>
    <w:rsid w:val="004058E0"/>
    <w:rsid w:val="00407589"/>
    <w:rsid w:val="00414D92"/>
    <w:rsid w:val="004170EF"/>
    <w:rsid w:val="004256A1"/>
    <w:rsid w:val="00450496"/>
    <w:rsid w:val="0045510B"/>
    <w:rsid w:val="00461540"/>
    <w:rsid w:val="00475192"/>
    <w:rsid w:val="004769D7"/>
    <w:rsid w:val="0049090F"/>
    <w:rsid w:val="00491494"/>
    <w:rsid w:val="0049696A"/>
    <w:rsid w:val="004A04B1"/>
    <w:rsid w:val="004A0A4B"/>
    <w:rsid w:val="004A19BF"/>
    <w:rsid w:val="004A1F57"/>
    <w:rsid w:val="004B0B5E"/>
    <w:rsid w:val="004B245F"/>
    <w:rsid w:val="004C08F1"/>
    <w:rsid w:val="004C2C46"/>
    <w:rsid w:val="004C39A3"/>
    <w:rsid w:val="004D591A"/>
    <w:rsid w:val="004D68C1"/>
    <w:rsid w:val="004E3227"/>
    <w:rsid w:val="004E4D79"/>
    <w:rsid w:val="004F59B5"/>
    <w:rsid w:val="00505924"/>
    <w:rsid w:val="00505B79"/>
    <w:rsid w:val="00516EF3"/>
    <w:rsid w:val="00521814"/>
    <w:rsid w:val="0053412E"/>
    <w:rsid w:val="00534336"/>
    <w:rsid w:val="005406F3"/>
    <w:rsid w:val="00541BCD"/>
    <w:rsid w:val="00542374"/>
    <w:rsid w:val="00553052"/>
    <w:rsid w:val="00575F0C"/>
    <w:rsid w:val="00577B9E"/>
    <w:rsid w:val="00581140"/>
    <w:rsid w:val="005840B3"/>
    <w:rsid w:val="005863DE"/>
    <w:rsid w:val="00586404"/>
    <w:rsid w:val="00590415"/>
    <w:rsid w:val="005B26A6"/>
    <w:rsid w:val="005D37F7"/>
    <w:rsid w:val="005D6676"/>
    <w:rsid w:val="005D677B"/>
    <w:rsid w:val="005E45E9"/>
    <w:rsid w:val="005E6C43"/>
    <w:rsid w:val="005F0738"/>
    <w:rsid w:val="006003DB"/>
    <w:rsid w:val="00600F97"/>
    <w:rsid w:val="0060445E"/>
    <w:rsid w:val="0060588D"/>
    <w:rsid w:val="00605B25"/>
    <w:rsid w:val="006064F8"/>
    <w:rsid w:val="00607754"/>
    <w:rsid w:val="00614C36"/>
    <w:rsid w:val="006165E6"/>
    <w:rsid w:val="00625A56"/>
    <w:rsid w:val="0063025C"/>
    <w:rsid w:val="006306A2"/>
    <w:rsid w:val="00635063"/>
    <w:rsid w:val="00636C5D"/>
    <w:rsid w:val="00637F19"/>
    <w:rsid w:val="006401A8"/>
    <w:rsid w:val="006402AB"/>
    <w:rsid w:val="006428C0"/>
    <w:rsid w:val="00644FC9"/>
    <w:rsid w:val="00650E04"/>
    <w:rsid w:val="0065388F"/>
    <w:rsid w:val="006608FE"/>
    <w:rsid w:val="006662F3"/>
    <w:rsid w:val="006674E0"/>
    <w:rsid w:val="0067162E"/>
    <w:rsid w:val="00671C61"/>
    <w:rsid w:val="00683357"/>
    <w:rsid w:val="006850F1"/>
    <w:rsid w:val="006854E8"/>
    <w:rsid w:val="00695708"/>
    <w:rsid w:val="00696DE8"/>
    <w:rsid w:val="006A186D"/>
    <w:rsid w:val="006A431E"/>
    <w:rsid w:val="006A44BE"/>
    <w:rsid w:val="006A46AC"/>
    <w:rsid w:val="006A7602"/>
    <w:rsid w:val="006A7843"/>
    <w:rsid w:val="006B0C6E"/>
    <w:rsid w:val="006B0F68"/>
    <w:rsid w:val="006B3C32"/>
    <w:rsid w:val="006B3CE2"/>
    <w:rsid w:val="006B54EE"/>
    <w:rsid w:val="006C1648"/>
    <w:rsid w:val="006C2882"/>
    <w:rsid w:val="006C5A6F"/>
    <w:rsid w:val="006D5D89"/>
    <w:rsid w:val="006D6C56"/>
    <w:rsid w:val="006D7D09"/>
    <w:rsid w:val="00700992"/>
    <w:rsid w:val="007018E2"/>
    <w:rsid w:val="00713B82"/>
    <w:rsid w:val="00715346"/>
    <w:rsid w:val="0071558A"/>
    <w:rsid w:val="007202F5"/>
    <w:rsid w:val="00721BA3"/>
    <w:rsid w:val="00721ED0"/>
    <w:rsid w:val="007254B8"/>
    <w:rsid w:val="00731DA7"/>
    <w:rsid w:val="00733753"/>
    <w:rsid w:val="00736F68"/>
    <w:rsid w:val="00743D63"/>
    <w:rsid w:val="00746498"/>
    <w:rsid w:val="00754C7E"/>
    <w:rsid w:val="00757E7C"/>
    <w:rsid w:val="0076548F"/>
    <w:rsid w:val="00766D1F"/>
    <w:rsid w:val="00770BDC"/>
    <w:rsid w:val="00771A90"/>
    <w:rsid w:val="00771CAD"/>
    <w:rsid w:val="00776D87"/>
    <w:rsid w:val="0078162B"/>
    <w:rsid w:val="0078325F"/>
    <w:rsid w:val="00784B77"/>
    <w:rsid w:val="00786E97"/>
    <w:rsid w:val="00792F0A"/>
    <w:rsid w:val="00793C19"/>
    <w:rsid w:val="00795391"/>
    <w:rsid w:val="007A253C"/>
    <w:rsid w:val="007B4C5F"/>
    <w:rsid w:val="007C1DF1"/>
    <w:rsid w:val="007C20B2"/>
    <w:rsid w:val="007C2A46"/>
    <w:rsid w:val="007C310E"/>
    <w:rsid w:val="007C31DF"/>
    <w:rsid w:val="007C67DC"/>
    <w:rsid w:val="007C7806"/>
    <w:rsid w:val="007D0014"/>
    <w:rsid w:val="007D38FA"/>
    <w:rsid w:val="007D4D78"/>
    <w:rsid w:val="007D5CFB"/>
    <w:rsid w:val="007D6052"/>
    <w:rsid w:val="007D7180"/>
    <w:rsid w:val="007D7A09"/>
    <w:rsid w:val="007E29D5"/>
    <w:rsid w:val="007E4DA7"/>
    <w:rsid w:val="007E57FA"/>
    <w:rsid w:val="007F12C9"/>
    <w:rsid w:val="007F6597"/>
    <w:rsid w:val="00800BD1"/>
    <w:rsid w:val="008030BD"/>
    <w:rsid w:val="00805B05"/>
    <w:rsid w:val="00807498"/>
    <w:rsid w:val="00807968"/>
    <w:rsid w:val="008307C5"/>
    <w:rsid w:val="008321A9"/>
    <w:rsid w:val="00836DDD"/>
    <w:rsid w:val="0083722B"/>
    <w:rsid w:val="00837712"/>
    <w:rsid w:val="0084582A"/>
    <w:rsid w:val="00852259"/>
    <w:rsid w:val="00853845"/>
    <w:rsid w:val="00857D9F"/>
    <w:rsid w:val="00863D75"/>
    <w:rsid w:val="008676B8"/>
    <w:rsid w:val="008810C9"/>
    <w:rsid w:val="008820E6"/>
    <w:rsid w:val="008878B5"/>
    <w:rsid w:val="008919CD"/>
    <w:rsid w:val="008921C7"/>
    <w:rsid w:val="008A1AEA"/>
    <w:rsid w:val="008B6823"/>
    <w:rsid w:val="008C33D7"/>
    <w:rsid w:val="008C59BD"/>
    <w:rsid w:val="008D307A"/>
    <w:rsid w:val="008D5C85"/>
    <w:rsid w:val="008E02ED"/>
    <w:rsid w:val="008E2969"/>
    <w:rsid w:val="008E6A3E"/>
    <w:rsid w:val="008E6D19"/>
    <w:rsid w:val="008F5681"/>
    <w:rsid w:val="008F70A6"/>
    <w:rsid w:val="008F7153"/>
    <w:rsid w:val="0090497F"/>
    <w:rsid w:val="00904D53"/>
    <w:rsid w:val="00912D49"/>
    <w:rsid w:val="00913346"/>
    <w:rsid w:val="00916156"/>
    <w:rsid w:val="00940C8F"/>
    <w:rsid w:val="00943557"/>
    <w:rsid w:val="00944786"/>
    <w:rsid w:val="009509E7"/>
    <w:rsid w:val="009538B3"/>
    <w:rsid w:val="00953CB2"/>
    <w:rsid w:val="00961E7A"/>
    <w:rsid w:val="009671D0"/>
    <w:rsid w:val="00971D5E"/>
    <w:rsid w:val="00975A97"/>
    <w:rsid w:val="00977FEB"/>
    <w:rsid w:val="00980FCB"/>
    <w:rsid w:val="00981858"/>
    <w:rsid w:val="009825B5"/>
    <w:rsid w:val="0099207B"/>
    <w:rsid w:val="009A0929"/>
    <w:rsid w:val="009A15B5"/>
    <w:rsid w:val="009A2BF6"/>
    <w:rsid w:val="009B0FAA"/>
    <w:rsid w:val="009B6A60"/>
    <w:rsid w:val="009C6D96"/>
    <w:rsid w:val="009F47DE"/>
    <w:rsid w:val="00A02AB5"/>
    <w:rsid w:val="00A037AB"/>
    <w:rsid w:val="00A1192E"/>
    <w:rsid w:val="00A14576"/>
    <w:rsid w:val="00A150EE"/>
    <w:rsid w:val="00A178FF"/>
    <w:rsid w:val="00A17EA8"/>
    <w:rsid w:val="00A256BF"/>
    <w:rsid w:val="00A41194"/>
    <w:rsid w:val="00A41909"/>
    <w:rsid w:val="00A47000"/>
    <w:rsid w:val="00A525F2"/>
    <w:rsid w:val="00A55F25"/>
    <w:rsid w:val="00A5655C"/>
    <w:rsid w:val="00A6797E"/>
    <w:rsid w:val="00A7076F"/>
    <w:rsid w:val="00A72E30"/>
    <w:rsid w:val="00A73A80"/>
    <w:rsid w:val="00A76E4B"/>
    <w:rsid w:val="00A82D94"/>
    <w:rsid w:val="00A8487D"/>
    <w:rsid w:val="00A84E09"/>
    <w:rsid w:val="00A9481B"/>
    <w:rsid w:val="00A94A0B"/>
    <w:rsid w:val="00AA1D09"/>
    <w:rsid w:val="00AA3375"/>
    <w:rsid w:val="00AB155B"/>
    <w:rsid w:val="00AB1D68"/>
    <w:rsid w:val="00AB2D8B"/>
    <w:rsid w:val="00AD7EC1"/>
    <w:rsid w:val="00AE372D"/>
    <w:rsid w:val="00AE5B6F"/>
    <w:rsid w:val="00AF1F9B"/>
    <w:rsid w:val="00B02EDE"/>
    <w:rsid w:val="00B03760"/>
    <w:rsid w:val="00B04394"/>
    <w:rsid w:val="00B07C39"/>
    <w:rsid w:val="00B12609"/>
    <w:rsid w:val="00B23D06"/>
    <w:rsid w:val="00B32205"/>
    <w:rsid w:val="00B3297E"/>
    <w:rsid w:val="00B454A8"/>
    <w:rsid w:val="00B50639"/>
    <w:rsid w:val="00B53CDF"/>
    <w:rsid w:val="00B54661"/>
    <w:rsid w:val="00B657C7"/>
    <w:rsid w:val="00B75CDF"/>
    <w:rsid w:val="00B827E1"/>
    <w:rsid w:val="00B82850"/>
    <w:rsid w:val="00B85213"/>
    <w:rsid w:val="00B90DD2"/>
    <w:rsid w:val="00B9561D"/>
    <w:rsid w:val="00B975E6"/>
    <w:rsid w:val="00B97D57"/>
    <w:rsid w:val="00BA086B"/>
    <w:rsid w:val="00BB22FB"/>
    <w:rsid w:val="00BB3331"/>
    <w:rsid w:val="00BB55B9"/>
    <w:rsid w:val="00BC530A"/>
    <w:rsid w:val="00BC7ED6"/>
    <w:rsid w:val="00BD5658"/>
    <w:rsid w:val="00BD7185"/>
    <w:rsid w:val="00BD7D33"/>
    <w:rsid w:val="00BE0AED"/>
    <w:rsid w:val="00BE3759"/>
    <w:rsid w:val="00BE5C9E"/>
    <w:rsid w:val="00BF0B80"/>
    <w:rsid w:val="00BF12AF"/>
    <w:rsid w:val="00BF49BB"/>
    <w:rsid w:val="00C02B5B"/>
    <w:rsid w:val="00C11C73"/>
    <w:rsid w:val="00C13121"/>
    <w:rsid w:val="00C155D7"/>
    <w:rsid w:val="00C2011F"/>
    <w:rsid w:val="00C223DB"/>
    <w:rsid w:val="00C362BF"/>
    <w:rsid w:val="00C64D41"/>
    <w:rsid w:val="00C65299"/>
    <w:rsid w:val="00C6718B"/>
    <w:rsid w:val="00C67E3F"/>
    <w:rsid w:val="00C730F1"/>
    <w:rsid w:val="00C84767"/>
    <w:rsid w:val="00C85A01"/>
    <w:rsid w:val="00C86E58"/>
    <w:rsid w:val="00C91399"/>
    <w:rsid w:val="00C9218C"/>
    <w:rsid w:val="00C94DA8"/>
    <w:rsid w:val="00C966AE"/>
    <w:rsid w:val="00C96F2C"/>
    <w:rsid w:val="00C97625"/>
    <w:rsid w:val="00CB02F5"/>
    <w:rsid w:val="00CB341F"/>
    <w:rsid w:val="00CC1603"/>
    <w:rsid w:val="00CC1CAC"/>
    <w:rsid w:val="00CC365A"/>
    <w:rsid w:val="00CD331E"/>
    <w:rsid w:val="00CD773E"/>
    <w:rsid w:val="00CE2F73"/>
    <w:rsid w:val="00CE3099"/>
    <w:rsid w:val="00CE3AA7"/>
    <w:rsid w:val="00CE505A"/>
    <w:rsid w:val="00CE5900"/>
    <w:rsid w:val="00CF77F5"/>
    <w:rsid w:val="00D13BE0"/>
    <w:rsid w:val="00D205EB"/>
    <w:rsid w:val="00D221AE"/>
    <w:rsid w:val="00D25ECF"/>
    <w:rsid w:val="00D26337"/>
    <w:rsid w:val="00D36075"/>
    <w:rsid w:val="00D40048"/>
    <w:rsid w:val="00D43432"/>
    <w:rsid w:val="00D52C7A"/>
    <w:rsid w:val="00D53CAD"/>
    <w:rsid w:val="00D60165"/>
    <w:rsid w:val="00D72406"/>
    <w:rsid w:val="00D74334"/>
    <w:rsid w:val="00D743EB"/>
    <w:rsid w:val="00D86C01"/>
    <w:rsid w:val="00D87BC0"/>
    <w:rsid w:val="00D96032"/>
    <w:rsid w:val="00DA4B3E"/>
    <w:rsid w:val="00DA56F7"/>
    <w:rsid w:val="00DA5854"/>
    <w:rsid w:val="00DA70BD"/>
    <w:rsid w:val="00DB0A46"/>
    <w:rsid w:val="00DB69C1"/>
    <w:rsid w:val="00DB6FAA"/>
    <w:rsid w:val="00DE084B"/>
    <w:rsid w:val="00DE0A66"/>
    <w:rsid w:val="00DE7A3E"/>
    <w:rsid w:val="00DF06FD"/>
    <w:rsid w:val="00DF09A5"/>
    <w:rsid w:val="00DF0A1C"/>
    <w:rsid w:val="00DF3789"/>
    <w:rsid w:val="00DF564C"/>
    <w:rsid w:val="00DF5963"/>
    <w:rsid w:val="00DF63CE"/>
    <w:rsid w:val="00E04403"/>
    <w:rsid w:val="00E044E1"/>
    <w:rsid w:val="00E05000"/>
    <w:rsid w:val="00E06779"/>
    <w:rsid w:val="00E10BF8"/>
    <w:rsid w:val="00E121B8"/>
    <w:rsid w:val="00E255B6"/>
    <w:rsid w:val="00E27D73"/>
    <w:rsid w:val="00E302C7"/>
    <w:rsid w:val="00E3240B"/>
    <w:rsid w:val="00E36868"/>
    <w:rsid w:val="00E36C85"/>
    <w:rsid w:val="00E36CA9"/>
    <w:rsid w:val="00E41A7F"/>
    <w:rsid w:val="00E42A51"/>
    <w:rsid w:val="00E439C7"/>
    <w:rsid w:val="00E448E6"/>
    <w:rsid w:val="00E47CB5"/>
    <w:rsid w:val="00E5020F"/>
    <w:rsid w:val="00E60C92"/>
    <w:rsid w:val="00E614F4"/>
    <w:rsid w:val="00E62084"/>
    <w:rsid w:val="00E6344A"/>
    <w:rsid w:val="00E65BDE"/>
    <w:rsid w:val="00E65C8D"/>
    <w:rsid w:val="00E65E48"/>
    <w:rsid w:val="00E6662B"/>
    <w:rsid w:val="00E66847"/>
    <w:rsid w:val="00E701D1"/>
    <w:rsid w:val="00E708ED"/>
    <w:rsid w:val="00E71C21"/>
    <w:rsid w:val="00E745CE"/>
    <w:rsid w:val="00E77556"/>
    <w:rsid w:val="00E97733"/>
    <w:rsid w:val="00EA5FDC"/>
    <w:rsid w:val="00EB5D5F"/>
    <w:rsid w:val="00ED11E4"/>
    <w:rsid w:val="00ED15FE"/>
    <w:rsid w:val="00EE7B12"/>
    <w:rsid w:val="00EE7C56"/>
    <w:rsid w:val="00EF1858"/>
    <w:rsid w:val="00EF79EE"/>
    <w:rsid w:val="00F1081A"/>
    <w:rsid w:val="00F243AA"/>
    <w:rsid w:val="00F25958"/>
    <w:rsid w:val="00F27193"/>
    <w:rsid w:val="00F31CD6"/>
    <w:rsid w:val="00F43344"/>
    <w:rsid w:val="00F4618D"/>
    <w:rsid w:val="00F50B8B"/>
    <w:rsid w:val="00F50C56"/>
    <w:rsid w:val="00F51854"/>
    <w:rsid w:val="00F527BE"/>
    <w:rsid w:val="00F558FD"/>
    <w:rsid w:val="00F56AFF"/>
    <w:rsid w:val="00F60D4A"/>
    <w:rsid w:val="00F64261"/>
    <w:rsid w:val="00F72A8C"/>
    <w:rsid w:val="00F73375"/>
    <w:rsid w:val="00F7430F"/>
    <w:rsid w:val="00F74B50"/>
    <w:rsid w:val="00F76354"/>
    <w:rsid w:val="00F84872"/>
    <w:rsid w:val="00FA43AA"/>
    <w:rsid w:val="00FA7227"/>
    <w:rsid w:val="00FB6ECA"/>
    <w:rsid w:val="00FC0C76"/>
    <w:rsid w:val="00FC0D00"/>
    <w:rsid w:val="00FC38C0"/>
    <w:rsid w:val="00FD58D9"/>
    <w:rsid w:val="00FE789C"/>
    <w:rsid w:val="00FF026A"/>
    <w:rsid w:val="00FF4530"/>
    <w:rsid w:val="033F4885"/>
    <w:rsid w:val="0469532E"/>
    <w:rsid w:val="05F979D0"/>
    <w:rsid w:val="0696055B"/>
    <w:rsid w:val="0ABF6E54"/>
    <w:rsid w:val="0B307DAB"/>
    <w:rsid w:val="28F337C0"/>
    <w:rsid w:val="377E7D50"/>
    <w:rsid w:val="4CFB1AF7"/>
    <w:rsid w:val="4E2400F1"/>
    <w:rsid w:val="5EA846F5"/>
    <w:rsid w:val="64414A95"/>
    <w:rsid w:val="6EF62450"/>
    <w:rsid w:val="743C692B"/>
    <w:rsid w:val="78337FAA"/>
    <w:rsid w:val="79F35218"/>
    <w:rsid w:val="7FB143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99" w:name="Document Map"/>
    <w:lsdException w:qFormat="1"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4"/>
    <w:autoRedefine/>
    <w:qFormat/>
    <w:uiPriority w:val="9"/>
    <w:pPr>
      <w:keepNext/>
      <w:keepLines/>
      <w:spacing w:before="340" w:after="330" w:line="578" w:lineRule="auto"/>
      <w:outlineLvl w:val="0"/>
    </w:pPr>
    <w:rPr>
      <w:rFonts w:ascii="Calibri" w:hAnsi="Calibri"/>
      <w:b/>
      <w:bCs/>
      <w:kern w:val="44"/>
      <w:sz w:val="44"/>
      <w:szCs w:val="44"/>
    </w:rPr>
  </w:style>
  <w:style w:type="paragraph" w:styleId="3">
    <w:name w:val="heading 2"/>
    <w:basedOn w:val="1"/>
    <w:next w:val="1"/>
    <w:link w:val="25"/>
    <w:autoRedefine/>
    <w:unhideWhenUsed/>
    <w:qFormat/>
    <w:uiPriority w:val="9"/>
    <w:pPr>
      <w:keepNext/>
      <w:keepLines/>
      <w:spacing w:before="260" w:after="260" w:line="416" w:lineRule="auto"/>
      <w:jc w:val="center"/>
      <w:outlineLvl w:val="1"/>
    </w:pPr>
    <w:rPr>
      <w:rFonts w:ascii="Cambria" w:hAnsi="Cambria"/>
      <w:b/>
      <w:bCs/>
      <w:sz w:val="36"/>
      <w:szCs w:val="32"/>
    </w:rPr>
  </w:style>
  <w:style w:type="paragraph" w:styleId="4">
    <w:name w:val="heading 3"/>
    <w:basedOn w:val="1"/>
    <w:next w:val="1"/>
    <w:link w:val="26"/>
    <w:autoRedefine/>
    <w:unhideWhenUsed/>
    <w:qFormat/>
    <w:uiPriority w:val="9"/>
    <w:pPr>
      <w:keepNext/>
      <w:keepLines/>
      <w:spacing w:before="260" w:after="260" w:line="416" w:lineRule="auto"/>
      <w:outlineLvl w:val="2"/>
    </w:pPr>
    <w:rPr>
      <w:rFonts w:ascii="Calibri" w:hAnsi="Calibri"/>
      <w:b/>
      <w:bCs/>
      <w:sz w:val="32"/>
      <w:szCs w:val="32"/>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5">
    <w:name w:val="Document Map"/>
    <w:basedOn w:val="1"/>
    <w:link w:val="32"/>
    <w:autoRedefine/>
    <w:semiHidden/>
    <w:qFormat/>
    <w:uiPriority w:val="99"/>
    <w:pPr>
      <w:shd w:val="clear" w:color="auto" w:fill="000080"/>
    </w:pPr>
  </w:style>
  <w:style w:type="paragraph" w:styleId="6">
    <w:name w:val="annotation text"/>
    <w:basedOn w:val="1"/>
    <w:link w:val="44"/>
    <w:autoRedefine/>
    <w:unhideWhenUsed/>
    <w:qFormat/>
    <w:uiPriority w:val="99"/>
    <w:pPr>
      <w:jc w:val="left"/>
    </w:pPr>
    <w:rPr>
      <w:rFonts w:ascii="Calibri" w:hAnsi="Calibri"/>
      <w:szCs w:val="22"/>
    </w:rPr>
  </w:style>
  <w:style w:type="paragraph" w:styleId="7">
    <w:name w:val="Body Text Indent"/>
    <w:basedOn w:val="1"/>
    <w:link w:val="31"/>
    <w:qFormat/>
    <w:uiPriority w:val="0"/>
    <w:pPr>
      <w:spacing w:after="120"/>
      <w:ind w:left="420" w:leftChars="200"/>
    </w:pPr>
    <w:rPr>
      <w:lang w:val="zh-CN"/>
    </w:rPr>
  </w:style>
  <w:style w:type="paragraph" w:styleId="8">
    <w:name w:val="Plain Text"/>
    <w:basedOn w:val="1"/>
    <w:link w:val="36"/>
    <w:unhideWhenUsed/>
    <w:qFormat/>
    <w:uiPriority w:val="0"/>
    <w:rPr>
      <w:rFonts w:ascii="宋体" w:hAnsi="Courier New" w:cs="Courier New"/>
      <w:szCs w:val="21"/>
    </w:rPr>
  </w:style>
  <w:style w:type="paragraph" w:styleId="9">
    <w:name w:val="Date"/>
    <w:basedOn w:val="1"/>
    <w:next w:val="1"/>
    <w:link w:val="28"/>
    <w:autoRedefine/>
    <w:qFormat/>
    <w:uiPriority w:val="99"/>
    <w:rPr>
      <w:rFonts w:ascii="宋体"/>
      <w:sz w:val="24"/>
    </w:rPr>
  </w:style>
  <w:style w:type="paragraph" w:styleId="10">
    <w:name w:val="Body Text Indent 2"/>
    <w:basedOn w:val="1"/>
    <w:link w:val="38"/>
    <w:autoRedefine/>
    <w:qFormat/>
    <w:uiPriority w:val="0"/>
    <w:pPr>
      <w:spacing w:after="120" w:line="480" w:lineRule="auto"/>
      <w:ind w:left="420" w:leftChars="200"/>
    </w:pPr>
    <w:rPr>
      <w:rFonts w:asciiTheme="minorHAnsi" w:hAnsiTheme="minorHAnsi" w:eastAsiaTheme="minorEastAsia" w:cstheme="minorBidi"/>
      <w:szCs w:val="22"/>
    </w:rPr>
  </w:style>
  <w:style w:type="paragraph" w:styleId="11">
    <w:name w:val="Balloon Text"/>
    <w:basedOn w:val="1"/>
    <w:link w:val="35"/>
    <w:autoRedefine/>
    <w:semiHidden/>
    <w:qFormat/>
    <w:uiPriority w:val="99"/>
    <w:rPr>
      <w:sz w:val="18"/>
      <w:szCs w:val="18"/>
    </w:rPr>
  </w:style>
  <w:style w:type="paragraph" w:styleId="12">
    <w:name w:val="footer"/>
    <w:basedOn w:val="1"/>
    <w:link w:val="29"/>
    <w:autoRedefine/>
    <w:qFormat/>
    <w:uiPriority w:val="99"/>
    <w:pPr>
      <w:framePr w:wrap="around" w:vAnchor="text" w:hAnchor="margin" w:xAlign="right" w:y="1"/>
      <w:tabs>
        <w:tab w:val="center" w:pos="4153"/>
        <w:tab w:val="right" w:pos="8306"/>
      </w:tabs>
      <w:snapToGrid w:val="0"/>
      <w:ind w:firstLine="4200" w:firstLineChars="1500"/>
    </w:pPr>
    <w:rPr>
      <w:sz w:val="18"/>
    </w:rPr>
  </w:style>
  <w:style w:type="paragraph" w:styleId="13">
    <w:name w:val="header"/>
    <w:basedOn w:val="1"/>
    <w:link w:val="34"/>
    <w:autoRedefine/>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1"/>
    <w:next w:val="1"/>
    <w:autoRedefine/>
    <w:unhideWhenUsed/>
    <w:qFormat/>
    <w:uiPriority w:val="39"/>
    <w:pPr>
      <w:spacing w:line="360" w:lineRule="auto"/>
    </w:pPr>
    <w:rPr>
      <w:rFonts w:ascii="Calibri" w:hAnsi="Calibri"/>
      <w:sz w:val="24"/>
      <w:szCs w:val="22"/>
    </w:rPr>
  </w:style>
  <w:style w:type="paragraph" w:styleId="15">
    <w:name w:val="Body Text Indent 3"/>
    <w:basedOn w:val="1"/>
    <w:link w:val="40"/>
    <w:autoRedefine/>
    <w:qFormat/>
    <w:uiPriority w:val="0"/>
    <w:pPr>
      <w:spacing w:after="120"/>
      <w:ind w:left="420" w:leftChars="200"/>
    </w:pPr>
    <w:rPr>
      <w:rFonts w:asciiTheme="minorHAnsi" w:hAnsiTheme="minorHAnsi" w:eastAsiaTheme="minorEastAsia" w:cstheme="minorBidi"/>
      <w:sz w:val="16"/>
      <w:szCs w:val="16"/>
    </w:rPr>
  </w:style>
  <w:style w:type="paragraph" w:styleId="16">
    <w:name w:val="toc 2"/>
    <w:basedOn w:val="1"/>
    <w:next w:val="1"/>
    <w:autoRedefine/>
    <w:unhideWhenUsed/>
    <w:qFormat/>
    <w:uiPriority w:val="39"/>
    <w:pPr>
      <w:spacing w:line="360" w:lineRule="auto"/>
      <w:ind w:left="420" w:leftChars="200"/>
    </w:pPr>
    <w:rPr>
      <w:rFonts w:ascii="Calibri" w:hAnsi="Calibri"/>
      <w:sz w:val="24"/>
      <w:szCs w:val="22"/>
    </w:rPr>
  </w:style>
  <w:style w:type="paragraph" w:styleId="17">
    <w:name w:val="annotation subject"/>
    <w:basedOn w:val="6"/>
    <w:next w:val="6"/>
    <w:link w:val="45"/>
    <w:autoRedefine/>
    <w:unhideWhenUsed/>
    <w:qFormat/>
    <w:uiPriority w:val="99"/>
    <w:rPr>
      <w:b/>
      <w:bCs/>
    </w:rPr>
  </w:style>
  <w:style w:type="table" w:styleId="19">
    <w:name w:val="Table Grid"/>
    <w:basedOn w:val="18"/>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page number"/>
    <w:basedOn w:val="20"/>
    <w:autoRedefine/>
    <w:qFormat/>
    <w:uiPriority w:val="0"/>
  </w:style>
  <w:style w:type="character" w:styleId="22">
    <w:name w:val="Hyperlink"/>
    <w:basedOn w:val="20"/>
    <w:autoRedefine/>
    <w:unhideWhenUsed/>
    <w:qFormat/>
    <w:uiPriority w:val="99"/>
    <w:rPr>
      <w:color w:val="0000FF"/>
      <w:u w:val="single"/>
    </w:rPr>
  </w:style>
  <w:style w:type="character" w:styleId="23">
    <w:name w:val="annotation reference"/>
    <w:basedOn w:val="20"/>
    <w:autoRedefine/>
    <w:unhideWhenUsed/>
    <w:qFormat/>
    <w:uiPriority w:val="99"/>
    <w:rPr>
      <w:sz w:val="21"/>
      <w:szCs w:val="21"/>
    </w:rPr>
  </w:style>
  <w:style w:type="character" w:customStyle="1" w:styleId="24">
    <w:name w:val="标题 1 字符"/>
    <w:basedOn w:val="20"/>
    <w:link w:val="2"/>
    <w:autoRedefine/>
    <w:qFormat/>
    <w:uiPriority w:val="9"/>
    <w:rPr>
      <w:rFonts w:ascii="Calibri" w:hAnsi="Calibri" w:eastAsia="宋体" w:cs="Times New Roman"/>
      <w:b/>
      <w:bCs/>
      <w:kern w:val="44"/>
      <w:sz w:val="44"/>
      <w:szCs w:val="44"/>
    </w:rPr>
  </w:style>
  <w:style w:type="character" w:customStyle="1" w:styleId="25">
    <w:name w:val="标题 2 字符"/>
    <w:basedOn w:val="20"/>
    <w:link w:val="3"/>
    <w:autoRedefine/>
    <w:qFormat/>
    <w:uiPriority w:val="9"/>
    <w:rPr>
      <w:rFonts w:ascii="Cambria" w:hAnsi="Cambria" w:eastAsia="宋体" w:cs="Times New Roman"/>
      <w:b/>
      <w:bCs/>
      <w:sz w:val="36"/>
      <w:szCs w:val="32"/>
    </w:rPr>
  </w:style>
  <w:style w:type="character" w:customStyle="1" w:styleId="26">
    <w:name w:val="标题 3 字符"/>
    <w:basedOn w:val="20"/>
    <w:link w:val="4"/>
    <w:autoRedefine/>
    <w:qFormat/>
    <w:uiPriority w:val="9"/>
    <w:rPr>
      <w:rFonts w:ascii="Calibri" w:hAnsi="Calibri" w:eastAsia="宋体" w:cs="Times New Roman"/>
      <w:b/>
      <w:bCs/>
      <w:sz w:val="32"/>
      <w:szCs w:val="32"/>
    </w:rPr>
  </w:style>
  <w:style w:type="paragraph" w:customStyle="1" w:styleId="27">
    <w:name w:val="样式 标题一 副标题 + 居中"/>
    <w:basedOn w:val="1"/>
    <w:autoRedefine/>
    <w:qFormat/>
    <w:uiPriority w:val="0"/>
    <w:pPr>
      <w:tabs>
        <w:tab w:val="left" w:pos="720"/>
        <w:tab w:val="left" w:pos="7740"/>
      </w:tabs>
      <w:spacing w:after="240" w:line="240" w:lineRule="atLeast"/>
      <w:ind w:left="357" w:firstLine="150" w:firstLineChars="150"/>
      <w:jc w:val="left"/>
    </w:pPr>
    <w:rPr>
      <w:rFonts w:ascii="宋体" w:eastAsia="黑体"/>
      <w:kern w:val="0"/>
      <w:sz w:val="44"/>
    </w:rPr>
  </w:style>
  <w:style w:type="character" w:customStyle="1" w:styleId="28">
    <w:name w:val="日期 字符"/>
    <w:basedOn w:val="20"/>
    <w:link w:val="9"/>
    <w:autoRedefine/>
    <w:qFormat/>
    <w:uiPriority w:val="99"/>
    <w:rPr>
      <w:rFonts w:ascii="宋体" w:hAnsi="Times New Roman" w:eastAsia="宋体" w:cs="Times New Roman"/>
      <w:sz w:val="24"/>
      <w:szCs w:val="20"/>
    </w:rPr>
  </w:style>
  <w:style w:type="character" w:customStyle="1" w:styleId="29">
    <w:name w:val="页脚 字符"/>
    <w:basedOn w:val="20"/>
    <w:link w:val="12"/>
    <w:autoRedefine/>
    <w:qFormat/>
    <w:uiPriority w:val="99"/>
    <w:rPr>
      <w:rFonts w:ascii="Times New Roman" w:hAnsi="Times New Roman" w:eastAsia="宋体" w:cs="Times New Roman"/>
      <w:kern w:val="2"/>
      <w:sz w:val="18"/>
    </w:rPr>
  </w:style>
  <w:style w:type="paragraph" w:customStyle="1" w:styleId="30">
    <w:name w:val="1"/>
    <w:basedOn w:val="1"/>
    <w:next w:val="7"/>
    <w:autoRedefine/>
    <w:qFormat/>
    <w:uiPriority w:val="0"/>
    <w:pPr>
      <w:snapToGrid w:val="0"/>
      <w:spacing w:line="560" w:lineRule="atLeast"/>
      <w:ind w:firstLine="630"/>
    </w:pPr>
    <w:rPr>
      <w:sz w:val="31"/>
    </w:rPr>
  </w:style>
  <w:style w:type="character" w:customStyle="1" w:styleId="31">
    <w:name w:val="正文文本缩进 字符"/>
    <w:basedOn w:val="20"/>
    <w:link w:val="7"/>
    <w:autoRedefine/>
    <w:qFormat/>
    <w:uiPriority w:val="0"/>
    <w:rPr>
      <w:rFonts w:ascii="Times New Roman" w:hAnsi="Times New Roman" w:eastAsia="宋体" w:cs="Times New Roman"/>
      <w:szCs w:val="20"/>
      <w:lang w:val="zh-CN" w:eastAsia="zh-CN"/>
    </w:rPr>
  </w:style>
  <w:style w:type="character" w:customStyle="1" w:styleId="32">
    <w:name w:val="文档结构图 字符"/>
    <w:basedOn w:val="20"/>
    <w:link w:val="5"/>
    <w:autoRedefine/>
    <w:semiHidden/>
    <w:qFormat/>
    <w:uiPriority w:val="99"/>
    <w:rPr>
      <w:rFonts w:ascii="Times New Roman" w:hAnsi="Times New Roman" w:eastAsia="宋体" w:cs="Times New Roman"/>
      <w:szCs w:val="20"/>
      <w:shd w:val="clear" w:color="auto" w:fill="000080"/>
    </w:rPr>
  </w:style>
  <w:style w:type="character" w:customStyle="1" w:styleId="33">
    <w:name w:val="Char"/>
    <w:autoRedefine/>
    <w:qFormat/>
    <w:uiPriority w:val="0"/>
    <w:rPr>
      <w:rFonts w:eastAsia="宋体"/>
      <w:kern w:val="2"/>
      <w:sz w:val="31"/>
      <w:lang w:val="en-US" w:eastAsia="zh-CN" w:bidi="ar-SA"/>
    </w:rPr>
  </w:style>
  <w:style w:type="character" w:customStyle="1" w:styleId="34">
    <w:name w:val="页眉 字符"/>
    <w:basedOn w:val="20"/>
    <w:link w:val="13"/>
    <w:autoRedefine/>
    <w:qFormat/>
    <w:uiPriority w:val="99"/>
    <w:rPr>
      <w:rFonts w:ascii="Times New Roman" w:hAnsi="Times New Roman" w:eastAsia="宋体" w:cs="Times New Roman"/>
      <w:sz w:val="18"/>
      <w:szCs w:val="18"/>
    </w:rPr>
  </w:style>
  <w:style w:type="character" w:customStyle="1" w:styleId="35">
    <w:name w:val="批注框文本 字符"/>
    <w:basedOn w:val="20"/>
    <w:link w:val="11"/>
    <w:autoRedefine/>
    <w:semiHidden/>
    <w:qFormat/>
    <w:uiPriority w:val="99"/>
    <w:rPr>
      <w:rFonts w:ascii="Times New Roman" w:hAnsi="Times New Roman" w:eastAsia="宋体" w:cs="Times New Roman"/>
      <w:sz w:val="18"/>
      <w:szCs w:val="18"/>
    </w:rPr>
  </w:style>
  <w:style w:type="character" w:customStyle="1" w:styleId="36">
    <w:name w:val="纯文本 字符"/>
    <w:basedOn w:val="20"/>
    <w:link w:val="8"/>
    <w:autoRedefine/>
    <w:qFormat/>
    <w:uiPriority w:val="0"/>
    <w:rPr>
      <w:rFonts w:ascii="宋体" w:hAnsi="Courier New" w:eastAsia="宋体" w:cs="Courier New"/>
      <w:szCs w:val="21"/>
    </w:rPr>
  </w:style>
  <w:style w:type="paragraph" w:styleId="37">
    <w:name w:val="List Paragraph"/>
    <w:basedOn w:val="1"/>
    <w:autoRedefine/>
    <w:qFormat/>
    <w:uiPriority w:val="34"/>
    <w:pPr>
      <w:spacing w:line="360" w:lineRule="auto"/>
      <w:ind w:firstLine="420" w:firstLineChars="200"/>
    </w:pPr>
    <w:rPr>
      <w:rFonts w:ascii="Calibri" w:hAnsi="Calibri"/>
      <w:sz w:val="24"/>
      <w:szCs w:val="22"/>
    </w:rPr>
  </w:style>
  <w:style w:type="character" w:customStyle="1" w:styleId="38">
    <w:name w:val="正文文本缩进 2 字符"/>
    <w:link w:val="10"/>
    <w:autoRedefine/>
    <w:qFormat/>
    <w:uiPriority w:val="0"/>
  </w:style>
  <w:style w:type="character" w:customStyle="1" w:styleId="39">
    <w:name w:val="正文文本缩进 2 Char1"/>
    <w:basedOn w:val="20"/>
    <w:autoRedefine/>
    <w:qFormat/>
    <w:uiPriority w:val="99"/>
    <w:rPr>
      <w:rFonts w:ascii="Times New Roman" w:hAnsi="Times New Roman" w:eastAsia="宋体" w:cs="Times New Roman"/>
      <w:szCs w:val="20"/>
    </w:rPr>
  </w:style>
  <w:style w:type="character" w:customStyle="1" w:styleId="40">
    <w:name w:val="正文文本缩进 3 字符"/>
    <w:link w:val="15"/>
    <w:autoRedefine/>
    <w:qFormat/>
    <w:locked/>
    <w:uiPriority w:val="0"/>
    <w:rPr>
      <w:sz w:val="16"/>
      <w:szCs w:val="16"/>
    </w:rPr>
  </w:style>
  <w:style w:type="character" w:customStyle="1" w:styleId="41">
    <w:name w:val="正文文本缩进 3 Char1"/>
    <w:basedOn w:val="20"/>
    <w:autoRedefine/>
    <w:qFormat/>
    <w:uiPriority w:val="99"/>
    <w:rPr>
      <w:rFonts w:ascii="Times New Roman" w:hAnsi="Times New Roman" w:eastAsia="宋体" w:cs="Times New Roman"/>
      <w:sz w:val="16"/>
      <w:szCs w:val="16"/>
    </w:rPr>
  </w:style>
  <w:style w:type="paragraph" w:customStyle="1" w:styleId="42">
    <w:name w:val="p0"/>
    <w:basedOn w:val="1"/>
    <w:autoRedefine/>
    <w:qFormat/>
    <w:uiPriority w:val="0"/>
    <w:pPr>
      <w:widowControl/>
    </w:pPr>
    <w:rPr>
      <w:kern w:val="0"/>
      <w:szCs w:val="21"/>
    </w:rPr>
  </w:style>
  <w:style w:type="paragraph" w:customStyle="1" w:styleId="43">
    <w:name w:val="TOC 标题1"/>
    <w:basedOn w:val="2"/>
    <w:next w:val="1"/>
    <w:autoRedefine/>
    <w:unhideWhenUsed/>
    <w:qFormat/>
    <w:uiPriority w:val="39"/>
    <w:pPr>
      <w:widowControl/>
      <w:spacing w:before="480" w:after="0" w:line="276" w:lineRule="auto"/>
      <w:jc w:val="left"/>
      <w:outlineLvl w:val="9"/>
    </w:pPr>
    <w:rPr>
      <w:rFonts w:ascii="Cambria" w:hAnsi="Cambria"/>
      <w:color w:val="365F91"/>
      <w:kern w:val="0"/>
      <w:sz w:val="28"/>
      <w:szCs w:val="28"/>
    </w:rPr>
  </w:style>
  <w:style w:type="character" w:customStyle="1" w:styleId="44">
    <w:name w:val="批注文字 字符"/>
    <w:basedOn w:val="20"/>
    <w:link w:val="6"/>
    <w:autoRedefine/>
    <w:qFormat/>
    <w:uiPriority w:val="99"/>
    <w:rPr>
      <w:rFonts w:ascii="Calibri" w:hAnsi="Calibri" w:eastAsia="宋体" w:cs="Times New Roman"/>
    </w:rPr>
  </w:style>
  <w:style w:type="character" w:customStyle="1" w:styleId="45">
    <w:name w:val="批注主题 字符"/>
    <w:basedOn w:val="44"/>
    <w:link w:val="17"/>
    <w:autoRedefine/>
    <w:qFormat/>
    <w:uiPriority w:val="99"/>
    <w:rPr>
      <w:rFonts w:ascii="Calibri" w:hAnsi="Calibri" w:eastAsia="宋体" w:cs="Times New Roman"/>
      <w:b/>
      <w:bCs/>
    </w:rPr>
  </w:style>
  <w:style w:type="paragraph" w:customStyle="1" w:styleId="46">
    <w:name w:val="修订1"/>
    <w:autoRedefine/>
    <w:hidden/>
    <w:semiHidden/>
    <w:qFormat/>
    <w:uiPriority w:val="99"/>
    <w:rPr>
      <w:rFonts w:ascii="Calibri" w:hAnsi="Calibri" w:eastAsia="宋体" w:cs="Times New Roman"/>
      <w:kern w:val="2"/>
      <w:sz w:val="21"/>
      <w:szCs w:val="22"/>
      <w:lang w:val="en-US" w:eastAsia="zh-CN" w:bidi="ar-SA"/>
    </w:rPr>
  </w:style>
  <w:style w:type="paragraph" w:customStyle="1" w:styleId="47">
    <w:name w:val="修订2"/>
    <w:hidden/>
    <w:semiHidden/>
    <w:qFormat/>
    <w:uiPriority w:val="99"/>
    <w:rPr>
      <w:rFonts w:ascii="Times New Roman" w:hAnsi="Times New Roman" w:eastAsia="宋体" w:cs="Times New Roman"/>
      <w:kern w:val="2"/>
      <w:sz w:val="21"/>
      <w:lang w:val="en-US" w:eastAsia="zh-CN" w:bidi="ar-SA"/>
    </w:rPr>
  </w:style>
  <w:style w:type="paragraph" w:customStyle="1" w:styleId="48">
    <w:name w:val="Revision"/>
    <w:hidden/>
    <w:unhideWhenUsed/>
    <w:qFormat/>
    <w:uiPriority w:val="99"/>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524691-8E68-43BA-823C-225660AAF8E4}">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10</Pages>
  <Words>3941</Words>
  <Characters>6001</Characters>
  <Lines>148</Lines>
  <Paragraphs>41</Paragraphs>
  <TotalTime>0</TotalTime>
  <ScaleCrop>false</ScaleCrop>
  <LinksUpToDate>false</LinksUpToDate>
  <CharactersWithSpaces>6293</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2024-06-12T10:38:00Z</dcterms:created>
  <dc:creator>lenovo</dc:creator>
  <cp:lastModifiedBy>侯艳冰</cp:lastModifiedBy>
  <cp:lastPrinted>2023-10-30T09:45:00Z</cp:lastPrinted>
  <dcterms:modified xsi:type="dcterms:W3CDTF">2024-09-05T17:07:47Z</dcterms:modified>
  <cp:revision>83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01AC9F1438F341E88646128FACBB3557_13</vt:lpwstr>
  </property>
  <property fmtid="{D5CDD505-2E9C-101B-9397-08002B2CF9AE}" pid="3" name="KSOProductBuildVer">
    <vt:lpwstr>2052-12.1.0.17857</vt:lpwstr>
  </property>
</Properties>
</file>