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81283">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中山大学</w:t>
      </w:r>
    </w:p>
    <w:p w14:paraId="2EFD797B">
      <w:pPr>
        <w:adjustRightInd w:val="0"/>
        <w:snapToGrid w:val="0"/>
        <w:spacing w:line="500" w:lineRule="exact"/>
        <w:jc w:val="center"/>
        <w:rPr>
          <w:rFonts w:hint="default" w:ascii="仿宋_GB2312" w:hAnsi="宋体" w:eastAsia="仿宋_GB2312"/>
          <w:b/>
          <w:color w:val="000000"/>
          <w:sz w:val="36"/>
          <w:szCs w:val="36"/>
          <w:highlight w:val="none"/>
          <w:lang w:val="en-US" w:eastAsia="zh-CN"/>
        </w:rPr>
      </w:pPr>
      <w:r>
        <w:rPr>
          <w:rFonts w:hint="eastAsia" w:ascii="仿宋_GB2312" w:hAnsi="宋体" w:eastAsia="仿宋_GB2312"/>
          <w:b/>
          <w:color w:val="000000"/>
          <w:sz w:val="36"/>
          <w:szCs w:val="36"/>
          <w:highlight w:val="none"/>
        </w:rPr>
        <w:t>计算机科学与技术（081200）</w:t>
      </w:r>
      <w:r>
        <w:rPr>
          <w:rFonts w:hint="eastAsia" w:ascii="仿宋_GB2312" w:hAnsi="宋体" w:eastAsia="仿宋_GB2312"/>
          <w:b/>
          <w:color w:val="000000"/>
          <w:sz w:val="36"/>
          <w:szCs w:val="36"/>
          <w:highlight w:val="none"/>
          <w:lang w:val="en-US" w:eastAsia="zh-CN"/>
        </w:rPr>
        <w:t>学术学位</w:t>
      </w:r>
    </w:p>
    <w:p w14:paraId="6EFC73F6">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博士研究生培养方案</w:t>
      </w:r>
    </w:p>
    <w:p w14:paraId="5479D7EF">
      <w:pPr>
        <w:adjustRightInd w:val="0"/>
        <w:snapToGrid w:val="0"/>
        <w:spacing w:line="500" w:lineRule="exact"/>
        <w:jc w:val="center"/>
        <w:rPr>
          <w:rFonts w:hint="eastAsia" w:ascii="仿宋_GB2312" w:hAnsi="宋体" w:eastAsia="仿宋_GB2312"/>
          <w:b/>
          <w:color w:val="000000"/>
          <w:sz w:val="36"/>
          <w:szCs w:val="36"/>
          <w:highlight w:val="none"/>
        </w:rPr>
      </w:pPr>
      <w:r>
        <w:rPr>
          <w:rFonts w:hint="eastAsia" w:ascii="仿宋_GB2312" w:hAnsi="宋体" w:eastAsia="仿宋_GB2312"/>
          <w:b/>
          <w:color w:val="000000"/>
          <w:sz w:val="36"/>
          <w:szCs w:val="36"/>
          <w:highlight w:val="none"/>
        </w:rPr>
        <w:t>（从202</w:t>
      </w:r>
      <w:r>
        <w:rPr>
          <w:rFonts w:hint="eastAsia" w:ascii="仿宋_GB2312" w:hAnsi="宋体" w:eastAsia="仿宋_GB2312"/>
          <w:b/>
          <w:color w:val="000000"/>
          <w:sz w:val="36"/>
          <w:szCs w:val="36"/>
          <w:highlight w:val="none"/>
          <w:lang w:val="en-US" w:eastAsia="zh-CN"/>
        </w:rPr>
        <w:t>4</w:t>
      </w:r>
      <w:r>
        <w:rPr>
          <w:rFonts w:hint="eastAsia" w:ascii="仿宋_GB2312" w:hAnsi="宋体" w:eastAsia="仿宋_GB2312"/>
          <w:b/>
          <w:color w:val="000000"/>
          <w:sz w:val="36"/>
          <w:szCs w:val="36"/>
          <w:highlight w:val="none"/>
        </w:rPr>
        <w:t>年级开始执行）</w:t>
      </w:r>
    </w:p>
    <w:p w14:paraId="7C354735">
      <w:pPr>
        <w:spacing w:line="500" w:lineRule="exact"/>
        <w:ind w:firstLine="643" w:firstLineChars="200"/>
        <w:rPr>
          <w:rFonts w:ascii="仿宋_GB2312" w:hAnsi="宋体" w:eastAsia="仿宋_GB2312"/>
          <w:b/>
          <w:sz w:val="32"/>
          <w:szCs w:val="32"/>
          <w:highlight w:val="none"/>
        </w:rPr>
      </w:pPr>
    </w:p>
    <w:p w14:paraId="69166F00">
      <w:pPr>
        <w:pStyle w:val="38"/>
        <w:numPr>
          <w:ilvl w:val="0"/>
          <w:numId w:val="1"/>
        </w:numPr>
        <w:spacing w:line="500" w:lineRule="exact"/>
        <w:ind w:firstLineChars="0"/>
        <w:rPr>
          <w:rFonts w:ascii="仿宋_GB2312" w:hAnsi="宋体" w:eastAsia="仿宋_GB2312"/>
          <w:b/>
          <w:sz w:val="32"/>
          <w:szCs w:val="32"/>
          <w:highlight w:val="none"/>
        </w:rPr>
      </w:pPr>
      <w:r>
        <w:rPr>
          <w:rFonts w:hint="eastAsia" w:ascii="仿宋_GB2312" w:hAnsi="宋体" w:eastAsia="仿宋_GB2312"/>
          <w:b/>
          <w:sz w:val="32"/>
          <w:szCs w:val="32"/>
          <w:highlight w:val="none"/>
        </w:rPr>
        <w:t>学科介绍</w:t>
      </w:r>
    </w:p>
    <w:p w14:paraId="6D451366">
      <w:pPr>
        <w:pStyle w:val="38"/>
        <w:spacing w:line="500" w:lineRule="exact"/>
        <w:ind w:left="0" w:leftChars="0" w:firstLine="560" w:firstLineChars="200"/>
        <w:rPr>
          <w:rFonts w:hint="eastAsia" w:ascii="仿宋_GB2312" w:hAnsi="仿宋" w:eastAsia="仿宋_GB2312"/>
          <w:sz w:val="28"/>
          <w:szCs w:val="28"/>
          <w:highlight w:val="none"/>
        </w:rPr>
      </w:pPr>
      <w:r>
        <w:rPr>
          <w:rFonts w:hint="eastAsia" w:ascii="仿宋_GB2312" w:hAnsi="仿宋" w:eastAsia="仿宋_GB2312"/>
          <w:sz w:val="28"/>
          <w:szCs w:val="28"/>
          <w:highlight w:val="none"/>
        </w:rPr>
        <w:t>计算机科学与技术学科按照“理工结合、学科交叉”的发展思路，依托国家超级计算（广州）中心，聚焦科技前沿，面向粤港澳大湾区建设发展，对接国家战略需求，走内涵式发展道路，汇聚一流队伍，培养一流人才，在高性能计算、大数据与人工智能等多个优势领域的若干研究方向取得重大技术创新，形成了完善的研究生培养体系。</w:t>
      </w:r>
    </w:p>
    <w:p w14:paraId="7DF1E134">
      <w:pPr>
        <w:pStyle w:val="38"/>
        <w:spacing w:line="500" w:lineRule="exact"/>
        <w:ind w:left="0" w:leftChars="0" w:firstLine="560" w:firstLineChars="200"/>
        <w:rPr>
          <w:rFonts w:hint="eastAsia" w:ascii="仿宋_GB2312" w:hAnsi="仿宋" w:eastAsia="仿宋_GB2312"/>
          <w:sz w:val="28"/>
          <w:szCs w:val="28"/>
          <w:highlight w:val="none"/>
        </w:rPr>
      </w:pPr>
    </w:p>
    <w:p w14:paraId="0ED39CC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二、培养目标</w:t>
      </w:r>
    </w:p>
    <w:p w14:paraId="45C9C0B1">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62B8AD8A">
      <w:pPr>
        <w:spacing w:line="500" w:lineRule="exact"/>
        <w:ind w:firstLine="560" w:firstLineChars="200"/>
        <w:rPr>
          <w:highlight w:val="none"/>
        </w:rPr>
      </w:pPr>
      <w:r>
        <w:rPr>
          <w:rFonts w:hint="eastAsia" w:ascii="仿宋_GB2312" w:hAnsi="宋体" w:eastAsia="仿宋_GB2312"/>
          <w:sz w:val="28"/>
          <w:szCs w:val="28"/>
          <w:highlight w:val="none"/>
        </w:rPr>
        <w:t>要求学生基本掌握马列主义、毛泽东思想和邓小平理论，热爱祖国，遵纪守法，具有高尚的学术道德、具有高度的敬业精神和严谨的工作态度；具</w:t>
      </w:r>
      <w:r>
        <w:rPr>
          <w:rFonts w:hint="eastAsia" w:eastAsia="仿宋_GB2312"/>
          <w:sz w:val="28"/>
          <w:szCs w:val="28"/>
          <w:highlight w:val="none"/>
        </w:rPr>
        <w:t>有坚实的理论基础，</w:t>
      </w:r>
      <w:r>
        <w:rPr>
          <w:rFonts w:hint="eastAsia" w:ascii="仿宋_GB2312" w:hAnsi="宋体" w:eastAsia="仿宋_GB2312"/>
          <w:sz w:val="28"/>
          <w:szCs w:val="28"/>
          <w:highlight w:val="none"/>
        </w:rPr>
        <w:t>系统深入地掌握计算机软件、计算机科学理论和有关计算机系统结构、计算机应用技术方面的专业知识，熟练掌握一门外国语；能够综合运用理论、方法和技术分析解决计算机系统及应用中的复杂问题；熟悉计算机科学与技术发展的前沿和动态，具有良好的创新意识和创新思维能力</w:t>
      </w:r>
      <w:r>
        <w:rPr>
          <w:rFonts w:ascii="仿宋_GB2312" w:hAnsi="宋体" w:eastAsia="仿宋_GB2312"/>
          <w:sz w:val="28"/>
          <w:szCs w:val="28"/>
          <w:highlight w:val="none"/>
        </w:rPr>
        <w:t>;</w:t>
      </w:r>
      <w:r>
        <w:rPr>
          <w:rFonts w:hint="eastAsia" w:ascii="仿宋_GB2312" w:hAnsi="宋体" w:eastAsia="仿宋_GB2312"/>
          <w:sz w:val="28"/>
          <w:szCs w:val="28"/>
          <w:highlight w:val="none"/>
        </w:rPr>
        <w:t>能熟练地运用科学的研究方法，独立在该领域从事创造性的理论及应用研究，具备从事计算机及相关领域的科研和教学工作的能力。</w:t>
      </w:r>
    </w:p>
    <w:p w14:paraId="48E73ABE">
      <w:pPr>
        <w:adjustRightInd w:val="0"/>
        <w:snapToGrid w:val="0"/>
        <w:spacing w:line="500" w:lineRule="exact"/>
        <w:ind w:firstLine="560" w:firstLineChars="200"/>
        <w:jc w:val="left"/>
        <w:rPr>
          <w:rFonts w:ascii="仿宋_GB2312" w:hAnsi="华文仿宋" w:eastAsia="仿宋_GB2312"/>
          <w:sz w:val="28"/>
          <w:szCs w:val="28"/>
          <w:highlight w:val="none"/>
        </w:rPr>
      </w:pPr>
    </w:p>
    <w:p w14:paraId="0F00DD8D">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三、学制与学习年限</w:t>
      </w:r>
    </w:p>
    <w:p w14:paraId="02D59BA8">
      <w:pPr>
        <w:spacing w:line="500" w:lineRule="exact"/>
        <w:ind w:firstLine="560" w:firstLineChars="200"/>
        <w:rPr>
          <w:rFonts w:ascii="仿宋_GB2312" w:hAnsi="宋体" w:eastAsia="仿宋_GB2312"/>
          <w:sz w:val="28"/>
          <w:szCs w:val="28"/>
          <w:highlight w:val="none"/>
        </w:rPr>
      </w:pPr>
      <w:r>
        <w:rPr>
          <w:rFonts w:hint="eastAsia" w:eastAsia="仿宋_GB2312"/>
          <w:sz w:val="28"/>
          <w:szCs w:val="28"/>
          <w:highlight w:val="none"/>
        </w:rPr>
        <w:t>全日制</w:t>
      </w:r>
      <w:r>
        <w:rPr>
          <w:rFonts w:hint="eastAsia" w:eastAsia="仿宋_GB2312"/>
          <w:sz w:val="28"/>
          <w:szCs w:val="28"/>
          <w:highlight w:val="none"/>
          <w:lang w:eastAsia="zh-CN"/>
        </w:rPr>
        <w:t>，</w:t>
      </w:r>
      <w:r>
        <w:rPr>
          <w:rFonts w:hint="eastAsia" w:ascii="仿宋_GB2312" w:hAnsi="宋体" w:eastAsia="仿宋_GB2312"/>
          <w:sz w:val="28"/>
          <w:szCs w:val="28"/>
          <w:highlight w:val="none"/>
        </w:rPr>
        <w:t>学制为四年；每学年由两个学期组成。</w:t>
      </w:r>
      <w:r>
        <w:rPr>
          <w:rFonts w:eastAsia="仿宋_GB2312"/>
          <w:sz w:val="28"/>
          <w:szCs w:val="28"/>
          <w:highlight w:val="none"/>
        </w:rPr>
        <w:t>按照《中山大学研究生学籍管理规定》</w:t>
      </w:r>
      <w:r>
        <w:rPr>
          <w:rFonts w:hint="eastAsia" w:eastAsia="仿宋_GB2312"/>
          <w:sz w:val="28"/>
          <w:szCs w:val="28"/>
          <w:highlight w:val="none"/>
        </w:rPr>
        <w:t>中</w:t>
      </w:r>
      <w:r>
        <w:rPr>
          <w:rFonts w:eastAsia="仿宋_GB2312"/>
          <w:sz w:val="28"/>
          <w:szCs w:val="28"/>
          <w:highlight w:val="none"/>
        </w:rPr>
        <w:t>规定的学制和学习年限执行。</w:t>
      </w:r>
    </w:p>
    <w:p w14:paraId="587969B8">
      <w:pPr>
        <w:widowControl/>
        <w:jc w:val="left"/>
        <w:rPr>
          <w:highlight w:val="none"/>
        </w:rPr>
      </w:pPr>
    </w:p>
    <w:p w14:paraId="1A19F22B">
      <w:pPr>
        <w:widowControl/>
        <w:jc w:val="left"/>
        <w:rPr>
          <w:highlight w:val="none"/>
        </w:rPr>
      </w:pPr>
    </w:p>
    <w:p w14:paraId="281EB021">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四、学科特色方向</w:t>
      </w:r>
    </w:p>
    <w:p w14:paraId="12F8604E">
      <w:pPr>
        <w:widowControl/>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本方案适用于以下学科方向：</w:t>
      </w:r>
      <w:r>
        <w:rPr>
          <w:rFonts w:ascii="仿宋_GB2312" w:hAnsi="宋体" w:eastAsia="仿宋_GB2312"/>
          <w:sz w:val="28"/>
          <w:szCs w:val="28"/>
          <w:highlight w:val="none"/>
        </w:rPr>
        <w:t xml:space="preserve"> </w:t>
      </w:r>
    </w:p>
    <w:p w14:paraId="53B554F2">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．计算机系统结构</w:t>
      </w:r>
    </w:p>
    <w:p w14:paraId="11A7173F">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计算机系统设计、高性能计算、计算机网络、分布式系统、嵌入式系统、实时系统、云计算、边缘计算、智能物联网等。</w:t>
      </w:r>
    </w:p>
    <w:p w14:paraId="4037C7BB">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．计算机软件与理论</w:t>
      </w:r>
    </w:p>
    <w:p w14:paraId="24CEC9E2">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计算机科学理论、量子计算、软件理论、软件设计与验证、软件过程方法、系统软件与中间件等。</w:t>
      </w:r>
    </w:p>
    <w:p w14:paraId="02765E11">
      <w:pPr>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．计算机应用</w:t>
      </w:r>
    </w:p>
    <w:p w14:paraId="416097CB">
      <w:pPr>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计算机图形学、人机交互与普适计算、多媒体信息处理、区块链技术、可视化技术等。</w:t>
      </w:r>
    </w:p>
    <w:p w14:paraId="2434ADDF">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4．网络与信息安全</w:t>
      </w:r>
    </w:p>
    <w:p w14:paraId="4887D5D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网络安全、安全与可信计算、信息系统安全、数字媒体内容安全、云数据安全等。</w:t>
      </w:r>
    </w:p>
    <w:p w14:paraId="06955862">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5．数据科学与大数据技术</w:t>
      </w:r>
    </w:p>
    <w:p w14:paraId="5A32E79C">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数据科学、数据挖掘、大数据管理、大数据</w:t>
      </w:r>
      <w:r>
        <w:rPr>
          <w:rFonts w:hint="eastAsia" w:ascii="仿宋_GB2312" w:hAnsi="宋体" w:eastAsia="仿宋_GB2312"/>
          <w:sz w:val="28"/>
          <w:szCs w:val="28"/>
          <w:highlight w:val="none"/>
          <w:lang w:val="en-US" w:eastAsia="zh-CN"/>
        </w:rPr>
        <w:t>分析</w:t>
      </w:r>
      <w:r>
        <w:rPr>
          <w:rFonts w:hint="eastAsia" w:ascii="仿宋_GB2312" w:hAnsi="宋体" w:eastAsia="仿宋_GB2312"/>
          <w:sz w:val="28"/>
          <w:szCs w:val="28"/>
          <w:highlight w:val="none"/>
        </w:rPr>
        <w:t>处理等。</w:t>
      </w:r>
    </w:p>
    <w:p w14:paraId="7E86C063">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6．人工智能</w:t>
      </w:r>
    </w:p>
    <w:p w14:paraId="0C312A1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机器学习、计算智能、</w:t>
      </w:r>
      <w:r>
        <w:rPr>
          <w:rFonts w:hint="eastAsia" w:ascii="仿宋_GB2312" w:hAnsi="宋体" w:eastAsia="仿宋_GB2312"/>
          <w:sz w:val="28"/>
          <w:szCs w:val="28"/>
          <w:highlight w:val="none"/>
          <w:lang w:val="en-US" w:eastAsia="zh-CN"/>
        </w:rPr>
        <w:t>自然语言处理、</w:t>
      </w:r>
      <w:r>
        <w:rPr>
          <w:rFonts w:hint="eastAsia" w:ascii="仿宋_GB2312" w:hAnsi="宋体" w:eastAsia="仿宋_GB2312"/>
          <w:sz w:val="28"/>
          <w:szCs w:val="28"/>
          <w:highlight w:val="none"/>
        </w:rPr>
        <w:t>计算机视觉、智能感知与探测、智能决策与控制等。</w:t>
      </w:r>
    </w:p>
    <w:p w14:paraId="1263B352">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7．智能无人系统</w:t>
      </w:r>
    </w:p>
    <w:p w14:paraId="04C595C0">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智能控制理论、基础软硬件、具身智能、群体智能</w:t>
      </w:r>
      <w:r>
        <w:rPr>
          <w:rFonts w:hint="eastAsia" w:ascii="仿宋_GB2312" w:hAnsi="宋体" w:eastAsia="仿宋_GB2312"/>
          <w:sz w:val="28"/>
          <w:szCs w:val="28"/>
          <w:highlight w:val="none"/>
        </w:rPr>
        <w:t>等。</w:t>
      </w:r>
    </w:p>
    <w:p w14:paraId="648C717B">
      <w:pPr>
        <w:adjustRightInd w:val="0"/>
        <w:snapToGrid w:val="0"/>
        <w:spacing w:line="500" w:lineRule="exact"/>
        <w:ind w:firstLine="560" w:firstLineChars="200"/>
        <w:jc w:val="left"/>
        <w:rPr>
          <w:rFonts w:hint="default" w:ascii="仿宋_GB2312" w:hAnsi="宋体" w:eastAsia="仿宋_GB2312"/>
          <w:sz w:val="28"/>
          <w:szCs w:val="28"/>
          <w:highlight w:val="none"/>
          <w:lang w:val="en-US" w:eastAsia="zh-CN"/>
        </w:rPr>
      </w:pPr>
    </w:p>
    <w:p w14:paraId="159BC4CC">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五、培养方式</w:t>
      </w:r>
    </w:p>
    <w:p w14:paraId="304C5BA8">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、采用全日制培养方式，实行“课程学习</w:t>
      </w:r>
      <w:r>
        <w:rPr>
          <w:rFonts w:ascii="仿宋_GB2312" w:hAnsi="宋体" w:eastAsia="仿宋_GB2312"/>
          <w:sz w:val="28"/>
          <w:szCs w:val="28"/>
          <w:highlight w:val="none"/>
        </w:rPr>
        <w:t>+</w:t>
      </w:r>
      <w:r>
        <w:rPr>
          <w:rFonts w:hint="eastAsia" w:ascii="仿宋_GB2312" w:hAnsi="宋体" w:eastAsia="仿宋_GB2312"/>
          <w:sz w:val="28"/>
          <w:szCs w:val="28"/>
          <w:highlight w:val="none"/>
        </w:rPr>
        <w:t>学位论文”两阶段培养。</w:t>
      </w:r>
    </w:p>
    <w:p w14:paraId="4945AE47">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、实行以科研为主导的导师或导师组负责制。导师应有适于培养学生的研究课题和充足的研究经费。导师应与学生定期交流，关心学生的思想品德、学术进展和综合素质，促进其德智体美劳全面发展。</w:t>
      </w:r>
    </w:p>
    <w:p w14:paraId="1C80BD82">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仿宋_GB2312" w:hAnsi="宋体" w:eastAsia="仿宋_GB2312"/>
          <w:sz w:val="28"/>
          <w:szCs w:val="28"/>
          <w:highlight w:val="none"/>
        </w:rPr>
        <w:t>、导师或导师组负责研究生培养计划制定、学位论文选题、中期、论文撰写和学位申请等方面的指导工作。导师或导师组全面负责学生的培养质量，建立规范化的学术交流和学术报告制度，按期检查培养环节的完成情况。</w:t>
      </w:r>
    </w:p>
    <w:p w14:paraId="5A5D0F1C">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4</w:t>
      </w:r>
      <w:r>
        <w:rPr>
          <w:rFonts w:hint="eastAsia" w:ascii="仿宋_GB2312" w:hAnsi="宋体" w:eastAsia="仿宋_GB2312"/>
          <w:sz w:val="28"/>
          <w:szCs w:val="28"/>
          <w:highlight w:val="none"/>
        </w:rPr>
        <w:t>、采用学分制，学生必须通过由学校组织的规定课程的考试，考试课程（科目）成绩达</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分以上（含</w:t>
      </w:r>
      <w:r>
        <w:rPr>
          <w:rFonts w:ascii="仿宋_GB2312" w:hAnsi="宋体" w:eastAsia="仿宋_GB2312"/>
          <w:sz w:val="28"/>
          <w:szCs w:val="28"/>
          <w:highlight w:val="none"/>
        </w:rPr>
        <w:t xml:space="preserve"> 60 </w:t>
      </w:r>
      <w:r>
        <w:rPr>
          <w:rFonts w:hint="eastAsia" w:ascii="仿宋_GB2312" w:hAnsi="宋体" w:eastAsia="仿宋_GB2312"/>
          <w:sz w:val="28"/>
          <w:szCs w:val="28"/>
          <w:highlight w:val="none"/>
        </w:rPr>
        <w:t>分）、考查课程（科目）合格，可获得培养方案规定的学分。课程成绩由任课教师根据具体教学情况综合评定；其中可包括：课程设计项目、课堂讨论发言、案例分析报告、专题调研报告、文献阅读报告以及期中</w:t>
      </w:r>
      <w:r>
        <w:rPr>
          <w:rFonts w:ascii="仿宋_GB2312" w:hAnsi="宋体" w:eastAsia="仿宋_GB2312"/>
          <w:sz w:val="28"/>
          <w:szCs w:val="28"/>
          <w:highlight w:val="none"/>
        </w:rPr>
        <w:t>/</w:t>
      </w:r>
      <w:r>
        <w:rPr>
          <w:rFonts w:hint="eastAsia" w:ascii="仿宋_GB2312" w:hAnsi="宋体" w:eastAsia="仿宋_GB2312"/>
          <w:sz w:val="28"/>
          <w:szCs w:val="28"/>
          <w:highlight w:val="none"/>
        </w:rPr>
        <w:t>期末考试等因素综合评定。</w:t>
      </w:r>
    </w:p>
    <w:p w14:paraId="4099A5EC">
      <w:pPr>
        <w:adjustRightInd w:val="0"/>
        <w:snapToGrid w:val="0"/>
        <w:spacing w:line="500" w:lineRule="exact"/>
        <w:ind w:firstLine="560" w:firstLineChars="200"/>
        <w:jc w:val="left"/>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仿宋_GB2312" w:hAnsi="宋体" w:eastAsia="仿宋_GB2312"/>
          <w:sz w:val="28"/>
          <w:szCs w:val="28"/>
          <w:highlight w:val="none"/>
        </w:rPr>
        <w:t>、课程考试成绩未达到合格要求者，根据课程情况可申请补考或重修，具体考核细则按《中山大学研究生学业考核管理办法》执行。</w:t>
      </w:r>
      <w:r>
        <w:rPr>
          <w:rFonts w:ascii="仿宋_GB2312" w:hAnsi="宋体" w:eastAsia="仿宋_GB2312"/>
          <w:sz w:val="28"/>
          <w:szCs w:val="28"/>
          <w:highlight w:val="none"/>
        </w:rPr>
        <w:t xml:space="preserve"> </w:t>
      </w:r>
    </w:p>
    <w:p w14:paraId="3A128CAA">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ascii="仿宋_GB2312" w:hAnsi="宋体" w:eastAsia="仿宋_GB2312"/>
          <w:sz w:val="28"/>
          <w:szCs w:val="28"/>
          <w:highlight w:val="none"/>
        </w:rPr>
        <w:t>6</w:t>
      </w:r>
      <w:r>
        <w:rPr>
          <w:rFonts w:hint="eastAsia" w:ascii="仿宋_GB2312" w:hAnsi="宋体" w:eastAsia="仿宋_GB2312"/>
          <w:sz w:val="28"/>
          <w:szCs w:val="28"/>
          <w:highlight w:val="none"/>
        </w:rPr>
        <w:t>、符合研究生院免修规定的研究生可免修英语。</w:t>
      </w:r>
    </w:p>
    <w:p w14:paraId="355DEFA9">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37CF2F96">
      <w:pPr>
        <w:numPr>
          <w:ilvl w:val="0"/>
          <w:numId w:val="0"/>
        </w:numPr>
        <w:spacing w:line="500" w:lineRule="exact"/>
        <w:rPr>
          <w:rFonts w:eastAsia="黑体"/>
          <w:bCs/>
          <w:sz w:val="32"/>
          <w:szCs w:val="32"/>
          <w:highlight w:val="none"/>
        </w:rPr>
      </w:pPr>
      <w:r>
        <w:rPr>
          <w:rFonts w:hint="eastAsia" w:eastAsia="黑体"/>
          <w:bCs/>
          <w:sz w:val="32"/>
          <w:szCs w:val="32"/>
          <w:highlight w:val="none"/>
          <w:lang w:val="en-US" w:eastAsia="zh-CN"/>
        </w:rPr>
        <w:t>六、</w:t>
      </w:r>
      <w:r>
        <w:rPr>
          <w:rFonts w:eastAsia="黑体"/>
          <w:bCs/>
          <w:sz w:val="32"/>
          <w:szCs w:val="32"/>
          <w:highlight w:val="none"/>
        </w:rPr>
        <w:t>课程设置与学分要求</w:t>
      </w:r>
    </w:p>
    <w:p w14:paraId="210FDE4E">
      <w:pPr>
        <w:adjustRightInd w:val="0"/>
        <w:snapToGrid w:val="0"/>
        <w:spacing w:line="500" w:lineRule="exact"/>
        <w:ind w:firstLine="560" w:firstLineChars="200"/>
        <w:jc w:val="left"/>
        <w:rPr>
          <w:rFonts w:eastAsia="仿宋_GB2312"/>
          <w:sz w:val="28"/>
          <w:szCs w:val="28"/>
          <w:highlight w:val="none"/>
        </w:rPr>
      </w:pPr>
      <w:r>
        <w:rPr>
          <w:rFonts w:eastAsia="仿宋_GB2312"/>
          <w:sz w:val="28"/>
          <w:szCs w:val="28"/>
          <w:highlight w:val="none"/>
        </w:rPr>
        <w:t>1.学分要求：包括总学分和必修课总学分要求。</w:t>
      </w:r>
    </w:p>
    <w:p w14:paraId="5D110772">
      <w:pPr>
        <w:spacing w:line="500" w:lineRule="exact"/>
        <w:ind w:firstLine="560" w:firstLineChars="200"/>
        <w:rPr>
          <w:rFonts w:hint="eastAsia" w:eastAsia="仿宋_GB2312"/>
          <w:color w:val="000000" w:themeColor="text1"/>
          <w:sz w:val="28"/>
          <w:szCs w:val="28"/>
          <w:highlight w:val="none"/>
          <w:lang w:eastAsia="zh-CN"/>
          <w14:textFill>
            <w14:solidFill>
              <w14:schemeClr w14:val="tx1"/>
            </w14:solidFill>
          </w14:textFill>
        </w:rPr>
      </w:pPr>
      <w:r>
        <w:rPr>
          <w:rFonts w:hint="eastAsia" w:eastAsia="仿宋_GB2312"/>
          <w:color w:val="000000" w:themeColor="text1"/>
          <w:sz w:val="28"/>
          <w:szCs w:val="28"/>
          <w:highlight w:val="none"/>
          <w14:textFill>
            <w14:solidFill>
              <w14:schemeClr w14:val="tx1"/>
            </w14:solidFill>
          </w14:textFill>
        </w:rPr>
        <w:t>总学分18学分，必修课不少于15学分</w:t>
      </w:r>
      <w:r>
        <w:rPr>
          <w:rFonts w:hint="eastAsia" w:eastAsia="仿宋_GB2312"/>
          <w:color w:val="000000" w:themeColor="text1"/>
          <w:sz w:val="28"/>
          <w:szCs w:val="28"/>
          <w:highlight w:val="none"/>
          <w:lang w:eastAsia="zh-CN"/>
          <w14:textFill>
            <w14:solidFill>
              <w14:schemeClr w14:val="tx1"/>
            </w14:solidFill>
          </w14:textFill>
        </w:rPr>
        <w:t>，</w:t>
      </w:r>
      <w:r>
        <w:rPr>
          <w:rFonts w:hint="eastAsia" w:eastAsia="仿宋_GB2312"/>
          <w:color w:val="000000" w:themeColor="text1"/>
          <w:sz w:val="28"/>
          <w:szCs w:val="28"/>
          <w:highlight w:val="none"/>
          <w:lang w:val="en-US" w:eastAsia="zh-CN"/>
          <w14:textFill>
            <w14:solidFill>
              <w14:schemeClr w14:val="tx1"/>
            </w14:solidFill>
          </w14:textFill>
        </w:rPr>
        <w:t>多选不限</w:t>
      </w:r>
      <w:r>
        <w:rPr>
          <w:rFonts w:hint="eastAsia" w:eastAsia="仿宋_GB2312"/>
          <w:color w:val="000000" w:themeColor="text1"/>
          <w:sz w:val="28"/>
          <w:szCs w:val="28"/>
          <w:highlight w:val="none"/>
          <w:lang w:eastAsia="zh-CN"/>
          <w14:textFill>
            <w14:solidFill>
              <w14:schemeClr w14:val="tx1"/>
            </w14:solidFill>
          </w14:textFill>
        </w:rPr>
        <w:t>。</w:t>
      </w:r>
    </w:p>
    <w:p w14:paraId="695032FC">
      <w:pPr>
        <w:numPr>
          <w:ilvl w:val="0"/>
          <w:numId w:val="2"/>
        </w:numPr>
        <w:spacing w:line="500" w:lineRule="exact"/>
        <w:ind w:firstLine="560" w:firstLineChars="200"/>
        <w:rPr>
          <w:rFonts w:eastAsia="仿宋_GB2312"/>
          <w:sz w:val="28"/>
          <w:szCs w:val="28"/>
          <w:highlight w:val="none"/>
        </w:rPr>
      </w:pPr>
      <w:r>
        <w:rPr>
          <w:rFonts w:eastAsia="仿宋_GB2312"/>
          <w:sz w:val="28"/>
          <w:szCs w:val="28"/>
          <w:highlight w:val="none"/>
        </w:rPr>
        <w:t>课程设置：</w:t>
      </w:r>
    </w:p>
    <w:p w14:paraId="204846B2">
      <w:pPr>
        <w:spacing w:line="500" w:lineRule="exact"/>
        <w:rPr>
          <w:rFonts w:eastAsia="仿宋_GB2312"/>
          <w:sz w:val="28"/>
          <w:szCs w:val="28"/>
          <w:highlight w:val="none"/>
        </w:rPr>
      </w:pPr>
      <w:r>
        <w:rPr>
          <w:rFonts w:hint="eastAsia" w:eastAsia="仿宋_GB2312"/>
          <w:b/>
          <w:bCs/>
          <w:color w:val="000000" w:themeColor="text1"/>
          <w:sz w:val="24"/>
          <w:szCs w:val="24"/>
          <w:highlight w:val="none"/>
          <w:lang w:val="en-US" w:eastAsia="zh-CN"/>
          <w14:textFill>
            <w14:solidFill>
              <w14:schemeClr w14:val="tx1"/>
            </w14:solidFill>
          </w14:textFill>
        </w:rPr>
        <w:t>（注：计算机科学与技术博士培养方案由计算机学院、人工智能学院和系统科学与工程学院三学院共同制定，课程设置涵盖三个学院的课程体系。此发布版本仅包含面向我院学生的课程。如需了解整个学位点的完整课程设置，可前往我院研究生教务办公室查阅。）</w:t>
      </w:r>
    </w:p>
    <w:tbl>
      <w:tblPr>
        <w:tblStyle w:val="20"/>
        <w:tblW w:w="9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24"/>
        <w:gridCol w:w="1249"/>
        <w:gridCol w:w="2746"/>
        <w:gridCol w:w="555"/>
        <w:gridCol w:w="495"/>
        <w:gridCol w:w="2025"/>
        <w:gridCol w:w="681"/>
        <w:gridCol w:w="393"/>
      </w:tblGrid>
      <w:tr w14:paraId="6B4B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14:paraId="5AE8D97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sz w:val="18"/>
                <w:szCs w:val="18"/>
                <w:highlight w:val="none"/>
                <w14:textFill>
                  <w14:solidFill>
                    <w14:schemeClr w14:val="tx1"/>
                  </w14:solidFill>
                </w14:textFill>
              </w:rPr>
              <w:t>课程属性</w:t>
            </w:r>
          </w:p>
        </w:tc>
        <w:tc>
          <w:tcPr>
            <w:tcW w:w="724" w:type="dxa"/>
            <w:vAlign w:val="center"/>
          </w:tcPr>
          <w:p w14:paraId="324513DD">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课程类别</w:t>
            </w:r>
          </w:p>
        </w:tc>
        <w:tc>
          <w:tcPr>
            <w:tcW w:w="1249" w:type="dxa"/>
            <w:vAlign w:val="center"/>
          </w:tcPr>
          <w:p w14:paraId="6E7CDCB2">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课程代码</w:t>
            </w:r>
          </w:p>
        </w:tc>
        <w:tc>
          <w:tcPr>
            <w:tcW w:w="2746" w:type="dxa"/>
            <w:vAlign w:val="center"/>
          </w:tcPr>
          <w:p w14:paraId="05C9A0B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课程名称/英文名称</w:t>
            </w:r>
          </w:p>
        </w:tc>
        <w:tc>
          <w:tcPr>
            <w:tcW w:w="555" w:type="dxa"/>
            <w:vAlign w:val="center"/>
          </w:tcPr>
          <w:p w14:paraId="0429989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学时</w:t>
            </w:r>
          </w:p>
        </w:tc>
        <w:tc>
          <w:tcPr>
            <w:tcW w:w="495" w:type="dxa"/>
            <w:vAlign w:val="center"/>
          </w:tcPr>
          <w:p w14:paraId="1567E82A">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学分</w:t>
            </w:r>
          </w:p>
        </w:tc>
        <w:tc>
          <w:tcPr>
            <w:tcW w:w="2025" w:type="dxa"/>
            <w:vAlign w:val="center"/>
          </w:tcPr>
          <w:p w14:paraId="451836E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课程负责人</w:t>
            </w:r>
          </w:p>
        </w:tc>
        <w:tc>
          <w:tcPr>
            <w:tcW w:w="1074" w:type="dxa"/>
            <w:gridSpan w:val="2"/>
            <w:vAlign w:val="center"/>
          </w:tcPr>
          <w:p w14:paraId="7E744CD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备注</w:t>
            </w:r>
          </w:p>
        </w:tc>
      </w:tr>
      <w:tr w14:paraId="0BC6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724" w:type="dxa"/>
            <w:vMerge w:val="restart"/>
            <w:textDirection w:val="tbRlV"/>
          </w:tcPr>
          <w:p w14:paraId="0B1BB341">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必修课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不少于15学分</w:t>
            </w:r>
            <w:r>
              <w:rPr>
                <w:rFonts w:hint="eastAsia" w:eastAsia="仿宋_GB2312"/>
                <w:color w:val="000000" w:themeColor="text1"/>
                <w:kern w:val="0"/>
                <w:sz w:val="18"/>
                <w:szCs w:val="18"/>
                <w:highlight w:val="none"/>
                <w:lang w:eastAsia="zh-CN"/>
                <w14:textFill>
                  <w14:solidFill>
                    <w14:schemeClr w14:val="tx1"/>
                  </w14:solidFill>
                </w14:textFill>
              </w:rPr>
              <w:t>）</w:t>
            </w:r>
          </w:p>
          <w:p w14:paraId="58592249">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p w14:paraId="1F186B8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tcPr>
          <w:p w14:paraId="7CEE717F">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公共课</w:t>
            </w:r>
            <w:r>
              <w:rPr>
                <w:rFonts w:hint="eastAsia" w:eastAsia="仿宋_GB2312"/>
                <w:color w:val="000000" w:themeColor="text1"/>
                <w:kern w:val="0"/>
                <w:sz w:val="18"/>
                <w:szCs w:val="18"/>
                <w:highlight w:val="none"/>
                <w14:textFill>
                  <w14:solidFill>
                    <w14:schemeClr w14:val="tx1"/>
                  </w14:solidFill>
                </w14:textFill>
              </w:rPr>
              <w:t>（5学分）</w:t>
            </w:r>
          </w:p>
        </w:tc>
        <w:tc>
          <w:tcPr>
            <w:tcW w:w="1249" w:type="dxa"/>
            <w:vAlign w:val="center"/>
          </w:tcPr>
          <w:p w14:paraId="21017AB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MAR7001</w:t>
            </w:r>
          </w:p>
        </w:tc>
        <w:tc>
          <w:tcPr>
            <w:tcW w:w="2746" w:type="dxa"/>
            <w:vAlign w:val="center"/>
          </w:tcPr>
          <w:p w14:paraId="77E610F8">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中国马克思主义与当代</w:t>
            </w:r>
          </w:p>
          <w:p w14:paraId="5013C32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Marxism of China and Contemporary World</w:t>
            </w:r>
          </w:p>
        </w:tc>
        <w:tc>
          <w:tcPr>
            <w:tcW w:w="555" w:type="dxa"/>
            <w:vAlign w:val="center"/>
          </w:tcPr>
          <w:p w14:paraId="1CC6252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95" w:type="dxa"/>
            <w:vAlign w:val="center"/>
          </w:tcPr>
          <w:p w14:paraId="4A21BA8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2025" w:type="dxa"/>
            <w:vAlign w:val="center"/>
          </w:tcPr>
          <w:p w14:paraId="7FE51586">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074" w:type="dxa"/>
            <w:gridSpan w:val="2"/>
            <w:vAlign w:val="center"/>
          </w:tcPr>
          <w:p w14:paraId="43665D4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ABF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724" w:type="dxa"/>
            <w:vMerge w:val="continue"/>
            <w:textDirection w:val="tbRlV"/>
          </w:tcPr>
          <w:p w14:paraId="62975AD8">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0E40E41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BCBE66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MAR7002</w:t>
            </w:r>
          </w:p>
        </w:tc>
        <w:tc>
          <w:tcPr>
            <w:tcW w:w="2746" w:type="dxa"/>
            <w:vAlign w:val="center"/>
          </w:tcPr>
          <w:p w14:paraId="473F9AD4">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马克思恩格斯列宁经典著作选读Selected Readings of Marx, Engels and Lenin’s Classics</w:t>
            </w:r>
          </w:p>
        </w:tc>
        <w:tc>
          <w:tcPr>
            <w:tcW w:w="555" w:type="dxa"/>
            <w:vAlign w:val="center"/>
          </w:tcPr>
          <w:p w14:paraId="5FC82F3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18</w:t>
            </w:r>
          </w:p>
        </w:tc>
        <w:tc>
          <w:tcPr>
            <w:tcW w:w="495" w:type="dxa"/>
            <w:vAlign w:val="center"/>
          </w:tcPr>
          <w:p w14:paraId="692040D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1</w:t>
            </w:r>
          </w:p>
        </w:tc>
        <w:tc>
          <w:tcPr>
            <w:tcW w:w="2025" w:type="dxa"/>
            <w:vAlign w:val="center"/>
          </w:tcPr>
          <w:p w14:paraId="43EB5EBA">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马克思主义学院</w:t>
            </w:r>
          </w:p>
        </w:tc>
        <w:tc>
          <w:tcPr>
            <w:tcW w:w="1074" w:type="dxa"/>
            <w:gridSpan w:val="2"/>
            <w:vAlign w:val="center"/>
          </w:tcPr>
          <w:p w14:paraId="1254D2F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458B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4" w:type="dxa"/>
            <w:vMerge w:val="continue"/>
            <w:textDirection w:val="tbRlV"/>
          </w:tcPr>
          <w:p w14:paraId="420F4C2C">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CE1A4B8">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D54A59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FL7003</w:t>
            </w:r>
          </w:p>
        </w:tc>
        <w:tc>
          <w:tcPr>
            <w:tcW w:w="2746" w:type="dxa"/>
            <w:vAlign w:val="center"/>
          </w:tcPr>
          <w:p w14:paraId="06228C0A">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第一外国语（英语）</w:t>
            </w:r>
          </w:p>
          <w:p w14:paraId="18FA5E5E">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First Foreign Language(English)</w:t>
            </w:r>
          </w:p>
        </w:tc>
        <w:tc>
          <w:tcPr>
            <w:tcW w:w="555" w:type="dxa"/>
            <w:vAlign w:val="center"/>
          </w:tcPr>
          <w:p w14:paraId="7F7B64BB">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36</w:t>
            </w:r>
          </w:p>
        </w:tc>
        <w:tc>
          <w:tcPr>
            <w:tcW w:w="495" w:type="dxa"/>
            <w:vAlign w:val="center"/>
          </w:tcPr>
          <w:p w14:paraId="38B779AF">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2</w:t>
            </w:r>
          </w:p>
        </w:tc>
        <w:tc>
          <w:tcPr>
            <w:tcW w:w="2025" w:type="dxa"/>
            <w:vAlign w:val="center"/>
          </w:tcPr>
          <w:p w14:paraId="06A1D423">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外国语学院</w:t>
            </w:r>
          </w:p>
        </w:tc>
        <w:tc>
          <w:tcPr>
            <w:tcW w:w="1074" w:type="dxa"/>
            <w:gridSpan w:val="2"/>
            <w:vAlign w:val="center"/>
          </w:tcPr>
          <w:p w14:paraId="5E950939">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FF51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Merge w:val="continue"/>
            <w:textDirection w:val="tbRlV"/>
          </w:tcPr>
          <w:p w14:paraId="4747748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vAlign w:val="center"/>
          </w:tcPr>
          <w:p w14:paraId="79007EE2">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专业基础</w:t>
            </w:r>
            <w:r>
              <w:rPr>
                <w:rFonts w:eastAsia="仿宋_GB2312"/>
                <w:color w:val="000000" w:themeColor="text1"/>
                <w:kern w:val="0"/>
                <w:sz w:val="18"/>
                <w:szCs w:val="18"/>
                <w:highlight w:val="none"/>
                <w14:textFill>
                  <w14:solidFill>
                    <w14:schemeClr w14:val="tx1"/>
                  </w14:solidFill>
                </w14:textFill>
              </w:rPr>
              <w:t>课</w:t>
            </w:r>
            <w:r>
              <w:rPr>
                <w:rFonts w:hint="eastAsia" w:eastAsia="仿宋_GB2312"/>
                <w:color w:val="000000" w:themeColor="text1"/>
                <w:kern w:val="0"/>
                <w:sz w:val="18"/>
                <w:szCs w:val="18"/>
                <w:highlight w:val="none"/>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不少于7</w:t>
            </w:r>
            <w:r>
              <w:rPr>
                <w:rFonts w:hint="eastAsia" w:eastAsia="仿宋_GB2312"/>
                <w:color w:val="000000" w:themeColor="text1"/>
                <w:kern w:val="0"/>
                <w:sz w:val="18"/>
                <w:szCs w:val="18"/>
                <w:highlight w:val="none"/>
                <w14:textFill>
                  <w14:solidFill>
                    <w14:schemeClr w14:val="tx1"/>
                  </w14:solidFill>
                </w14:textFill>
              </w:rPr>
              <w:t>学分）</w:t>
            </w:r>
          </w:p>
        </w:tc>
        <w:tc>
          <w:tcPr>
            <w:tcW w:w="1249" w:type="dxa"/>
            <w:vAlign w:val="center"/>
          </w:tcPr>
          <w:p w14:paraId="520F1C24">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DCS5709</w:t>
            </w:r>
          </w:p>
        </w:tc>
        <w:tc>
          <w:tcPr>
            <w:tcW w:w="2746" w:type="dxa"/>
            <w:vAlign w:val="center"/>
          </w:tcPr>
          <w:p w14:paraId="4DB0F1D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学术规范与论文写作Academic Norms and Thesis Writing</w:t>
            </w:r>
          </w:p>
        </w:tc>
        <w:tc>
          <w:tcPr>
            <w:tcW w:w="555" w:type="dxa"/>
            <w:vAlign w:val="center"/>
          </w:tcPr>
          <w:p w14:paraId="7B41D207">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36</w:t>
            </w:r>
          </w:p>
        </w:tc>
        <w:tc>
          <w:tcPr>
            <w:tcW w:w="495" w:type="dxa"/>
            <w:vAlign w:val="center"/>
          </w:tcPr>
          <w:p w14:paraId="72DA0AC4">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5FB64E2D">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规定必修，导师组</w:t>
            </w:r>
          </w:p>
        </w:tc>
        <w:tc>
          <w:tcPr>
            <w:tcW w:w="1074" w:type="dxa"/>
            <w:gridSpan w:val="2"/>
            <w:vAlign w:val="center"/>
          </w:tcPr>
          <w:p w14:paraId="7A58C46B">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p w14:paraId="2E52B4F2">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706BB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724" w:type="dxa"/>
            <w:vMerge w:val="continue"/>
            <w:textDirection w:val="tbRlV"/>
          </w:tcPr>
          <w:p w14:paraId="26EAE43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4A97E62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7B74BC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DCS7703</w:t>
            </w:r>
          </w:p>
        </w:tc>
        <w:tc>
          <w:tcPr>
            <w:tcW w:w="2746" w:type="dxa"/>
            <w:vAlign w:val="center"/>
          </w:tcPr>
          <w:p w14:paraId="41791645">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学术前沿讲座Ⅱ</w:t>
            </w:r>
          </w:p>
          <w:p w14:paraId="5067A455">
            <w:pPr>
              <w:jc w:val="left"/>
              <w:rPr>
                <w:rFonts w:hint="eastAsia"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Lectures on the frontiers of learning</w:t>
            </w:r>
            <w:r>
              <w:rPr>
                <w:rFonts w:hint="eastAsia" w:eastAsia="仿宋_GB2312"/>
                <w:color w:val="000000" w:themeColor="text1"/>
                <w:kern w:val="0"/>
                <w:sz w:val="18"/>
                <w:szCs w:val="18"/>
                <w:highlight w:val="none"/>
                <w14:textFill>
                  <w14:solidFill>
                    <w14:schemeClr w14:val="tx1"/>
                  </w14:solidFill>
                </w14:textFill>
              </w:rPr>
              <w:t>Ⅱ</w:t>
            </w:r>
          </w:p>
        </w:tc>
        <w:tc>
          <w:tcPr>
            <w:tcW w:w="555" w:type="dxa"/>
            <w:vAlign w:val="center"/>
          </w:tcPr>
          <w:p w14:paraId="1CE9EC1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543667DA">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2</w:t>
            </w:r>
          </w:p>
        </w:tc>
        <w:tc>
          <w:tcPr>
            <w:tcW w:w="2025" w:type="dxa"/>
            <w:vAlign w:val="center"/>
          </w:tcPr>
          <w:p w14:paraId="08942461">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074" w:type="dxa"/>
            <w:gridSpan w:val="2"/>
            <w:vAlign w:val="center"/>
          </w:tcPr>
          <w:p w14:paraId="2F4D49A0">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6446B21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（必选）</w:t>
            </w:r>
          </w:p>
        </w:tc>
      </w:tr>
      <w:tr w14:paraId="192AF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940B89D">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2D1FA880">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E3BB500">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DCS5718</w:t>
            </w:r>
          </w:p>
        </w:tc>
        <w:tc>
          <w:tcPr>
            <w:tcW w:w="2746" w:type="dxa"/>
            <w:vAlign w:val="center"/>
          </w:tcPr>
          <w:p w14:paraId="0C355F5D">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高等工程数学</w:t>
            </w:r>
          </w:p>
          <w:p w14:paraId="79BE9B7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w:t>
            </w:r>
            <w:r>
              <w:rPr>
                <w:rFonts w:hint="eastAsia" w:eastAsia="仿宋_GB2312"/>
                <w:color w:val="000000" w:themeColor="text1"/>
                <w:kern w:val="0"/>
                <w:sz w:val="18"/>
                <w:szCs w:val="18"/>
                <w:highlight w:val="none"/>
                <w:lang w:val="en-US" w:eastAsia="zh-CN"/>
                <w14:textFill>
                  <w14:solidFill>
                    <w14:schemeClr w14:val="tx1"/>
                  </w14:solidFill>
                </w14:textFill>
              </w:rPr>
              <w:t xml:space="preserve"> </w:t>
            </w:r>
            <w:r>
              <w:rPr>
                <w:rFonts w:hint="eastAsia" w:eastAsia="仿宋_GB2312"/>
                <w:color w:val="000000" w:themeColor="text1"/>
                <w:kern w:val="0"/>
                <w:sz w:val="18"/>
                <w:szCs w:val="18"/>
                <w:highlight w:val="none"/>
                <w14:textFill>
                  <w14:solidFill>
                    <w14:schemeClr w14:val="tx1"/>
                  </w14:solidFill>
                </w14:textFill>
              </w:rPr>
              <w:t>Engineering Mathematics</w:t>
            </w:r>
          </w:p>
        </w:tc>
        <w:tc>
          <w:tcPr>
            <w:tcW w:w="555" w:type="dxa"/>
            <w:vAlign w:val="center"/>
          </w:tcPr>
          <w:p w14:paraId="019799D9">
            <w:pPr>
              <w:snapToGrid w:val="0"/>
              <w:contextualSpacing/>
              <w:jc w:val="center"/>
              <w:rPr>
                <w:rFonts w:hint="default" w:ascii="仿宋" w:hAnsi="仿宋" w:eastAsia="仿宋" w:cs="F4"/>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95" w:type="dxa"/>
            <w:vAlign w:val="center"/>
          </w:tcPr>
          <w:p w14:paraId="2B1EE266">
            <w:pPr>
              <w:snapToGrid w:val="0"/>
              <w:contextualSpacing/>
              <w:jc w:val="center"/>
              <w:rPr>
                <w:rFonts w:hint="eastAsia" w:ascii="仿宋" w:hAnsi="仿宋" w:eastAsia="仿宋" w:cs="F4"/>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2025" w:type="dxa"/>
            <w:vAlign w:val="center"/>
          </w:tcPr>
          <w:p w14:paraId="505FD09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杨宏奇、马啸</w:t>
            </w:r>
            <w:r>
              <w:rPr>
                <w:rFonts w:hint="eastAsia" w:eastAsia="仿宋_GB2312"/>
                <w:color w:val="000000" w:themeColor="text1"/>
                <w:kern w:val="0"/>
                <w:sz w:val="18"/>
                <w:szCs w:val="18"/>
                <w:highlight w:val="none"/>
                <w:lang w:val="en-US" w:eastAsia="zh-CN"/>
                <w14:textFill>
                  <w14:solidFill>
                    <w14:schemeClr w14:val="tx1"/>
                  </w14:solidFill>
                </w14:textFill>
              </w:rPr>
              <w:t>等</w:t>
            </w:r>
          </w:p>
        </w:tc>
        <w:tc>
          <w:tcPr>
            <w:tcW w:w="681" w:type="dxa"/>
            <w:vAlign w:val="center"/>
          </w:tcPr>
          <w:p w14:paraId="24C4F7C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秋、春</w:t>
            </w:r>
          </w:p>
          <w:p w14:paraId="653B8A6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c>
          <w:tcPr>
            <w:tcW w:w="393" w:type="dxa"/>
            <w:vMerge w:val="restart"/>
            <w:vAlign w:val="center"/>
          </w:tcPr>
          <w:p w14:paraId="5A0A35D1">
            <w:pPr>
              <w:jc w:val="center"/>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二</w:t>
            </w:r>
            <w:r>
              <w:rPr>
                <w:rFonts w:hint="eastAsia" w:eastAsia="仿宋_GB2312"/>
                <w:color w:val="000000" w:themeColor="text1"/>
                <w:kern w:val="0"/>
                <w:sz w:val="18"/>
                <w:szCs w:val="18"/>
                <w:highlight w:val="none"/>
                <w14:textFill>
                  <w14:solidFill>
                    <w14:schemeClr w14:val="tx1"/>
                  </w14:solidFill>
                </w14:textFill>
              </w:rPr>
              <w:t>选一</w:t>
            </w:r>
          </w:p>
          <w:p w14:paraId="6036019D">
            <w:pPr>
              <w:jc w:val="center"/>
              <w:rPr>
                <w:rFonts w:hint="eastAsia" w:eastAsia="仿宋_GB2312"/>
                <w:color w:val="000000" w:themeColor="text1"/>
                <w:kern w:val="0"/>
                <w:sz w:val="18"/>
                <w:szCs w:val="18"/>
                <w:highlight w:val="none"/>
                <w14:textFill>
                  <w14:solidFill>
                    <w14:schemeClr w14:val="tx1"/>
                  </w14:solidFill>
                </w14:textFill>
              </w:rPr>
            </w:pPr>
          </w:p>
        </w:tc>
      </w:tr>
      <w:tr w14:paraId="0B8C2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A4F29F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DB2C52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3A802474">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DCS7201</w:t>
            </w:r>
          </w:p>
        </w:tc>
        <w:tc>
          <w:tcPr>
            <w:tcW w:w="2746" w:type="dxa"/>
            <w:vAlign w:val="center"/>
          </w:tcPr>
          <w:p w14:paraId="01302AA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计算复杂性理论</w:t>
            </w:r>
          </w:p>
          <w:p w14:paraId="37B97DCC">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of Computational Complexity</w:t>
            </w:r>
          </w:p>
        </w:tc>
        <w:tc>
          <w:tcPr>
            <w:tcW w:w="555" w:type="dxa"/>
            <w:vAlign w:val="center"/>
          </w:tcPr>
          <w:p w14:paraId="12A307C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54</w:t>
            </w:r>
          </w:p>
        </w:tc>
        <w:tc>
          <w:tcPr>
            <w:tcW w:w="495" w:type="dxa"/>
            <w:vAlign w:val="center"/>
          </w:tcPr>
          <w:p w14:paraId="7FE0782B">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3</w:t>
            </w:r>
          </w:p>
        </w:tc>
        <w:tc>
          <w:tcPr>
            <w:tcW w:w="2025" w:type="dxa"/>
            <w:vAlign w:val="center"/>
          </w:tcPr>
          <w:p w14:paraId="1C8FAB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张方国</w:t>
            </w:r>
          </w:p>
        </w:tc>
        <w:tc>
          <w:tcPr>
            <w:tcW w:w="681" w:type="dxa"/>
            <w:vAlign w:val="center"/>
          </w:tcPr>
          <w:p w14:paraId="7869CCE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c>
          <w:tcPr>
            <w:tcW w:w="393" w:type="dxa"/>
            <w:vMerge w:val="continue"/>
            <w:vAlign w:val="center"/>
          </w:tcPr>
          <w:p w14:paraId="50F428C8">
            <w:pPr>
              <w:jc w:val="center"/>
              <w:rPr>
                <w:rFonts w:hint="eastAsia" w:eastAsia="仿宋_GB2312"/>
                <w:color w:val="000000" w:themeColor="text1"/>
                <w:kern w:val="0"/>
                <w:sz w:val="18"/>
                <w:szCs w:val="18"/>
                <w:highlight w:val="none"/>
                <w14:textFill>
                  <w14:solidFill>
                    <w14:schemeClr w14:val="tx1"/>
                  </w14:solidFill>
                </w14:textFill>
              </w:rPr>
            </w:pPr>
          </w:p>
        </w:tc>
      </w:tr>
      <w:tr w14:paraId="243E3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08FC928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restart"/>
            <w:textDirection w:val="tbRlV"/>
          </w:tcPr>
          <w:p w14:paraId="486DE1BE">
            <w:pPr>
              <w:spacing w:line="500" w:lineRule="exact"/>
              <w:ind w:left="113" w:right="113"/>
              <w:jc w:val="center"/>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专业方向</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1249" w:type="dxa"/>
            <w:shd w:val="clear" w:color="auto" w:fill="auto"/>
            <w:vAlign w:val="center"/>
          </w:tcPr>
          <w:p w14:paraId="06C1E60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DCS5211</w:t>
            </w:r>
          </w:p>
        </w:tc>
        <w:tc>
          <w:tcPr>
            <w:tcW w:w="2746" w:type="dxa"/>
            <w:shd w:val="clear" w:color="auto" w:fill="auto"/>
            <w:vAlign w:val="center"/>
          </w:tcPr>
          <w:p w14:paraId="6230687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高级人工智能</w:t>
            </w:r>
          </w:p>
          <w:p w14:paraId="4F9D5A4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Artificial Intelligence</w:t>
            </w:r>
          </w:p>
        </w:tc>
        <w:tc>
          <w:tcPr>
            <w:tcW w:w="555" w:type="dxa"/>
            <w:shd w:val="clear" w:color="auto" w:fill="auto"/>
            <w:vAlign w:val="center"/>
          </w:tcPr>
          <w:p w14:paraId="42C83025">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95" w:type="dxa"/>
            <w:shd w:val="clear" w:color="auto" w:fill="auto"/>
            <w:vAlign w:val="center"/>
          </w:tcPr>
          <w:p w14:paraId="3C92E02D">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2025" w:type="dxa"/>
            <w:shd w:val="clear" w:color="auto" w:fill="auto"/>
            <w:vAlign w:val="center"/>
          </w:tcPr>
          <w:p w14:paraId="356DA16B">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、李冠彬、卓汉逵、赖韩江、苏勤亮、梁上松、曾坤、吴贺俊</w:t>
            </w:r>
          </w:p>
        </w:tc>
        <w:tc>
          <w:tcPr>
            <w:tcW w:w="1074" w:type="dxa"/>
            <w:gridSpan w:val="2"/>
            <w:shd w:val="clear" w:color="auto" w:fill="auto"/>
            <w:vAlign w:val="center"/>
          </w:tcPr>
          <w:p w14:paraId="03C8D71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5B198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5BD50AC7">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1F0BDB1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6915AC3D">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DCS5716</w:t>
            </w:r>
          </w:p>
        </w:tc>
        <w:tc>
          <w:tcPr>
            <w:tcW w:w="2746" w:type="dxa"/>
            <w:shd w:val="clear" w:color="auto" w:fill="auto"/>
            <w:vAlign w:val="center"/>
          </w:tcPr>
          <w:p w14:paraId="795B017A">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模式识别与计算机视觉</w:t>
            </w:r>
          </w:p>
          <w:p w14:paraId="2BB14F10">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pattern recognition and computer vision</w:t>
            </w:r>
          </w:p>
        </w:tc>
        <w:tc>
          <w:tcPr>
            <w:tcW w:w="555" w:type="dxa"/>
            <w:shd w:val="clear" w:color="auto" w:fill="auto"/>
            <w:vAlign w:val="center"/>
          </w:tcPr>
          <w:p w14:paraId="082D5747">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54</w:t>
            </w:r>
          </w:p>
        </w:tc>
        <w:tc>
          <w:tcPr>
            <w:tcW w:w="495" w:type="dxa"/>
            <w:shd w:val="clear" w:color="auto" w:fill="auto"/>
            <w:vAlign w:val="center"/>
          </w:tcPr>
          <w:p w14:paraId="6CC2CFAA">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w:t>
            </w:r>
          </w:p>
        </w:tc>
        <w:tc>
          <w:tcPr>
            <w:tcW w:w="2025" w:type="dxa"/>
            <w:shd w:val="clear" w:color="auto" w:fill="auto"/>
            <w:vAlign w:val="center"/>
          </w:tcPr>
          <w:p w14:paraId="30B7DFB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郑伟诗、杨猛、郑慧诚、胡建芳、马锦华、王瑞轩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bookmarkStart w:id="1" w:name="_GoBack"/>
            <w:bookmarkEnd w:id="1"/>
          </w:p>
        </w:tc>
        <w:tc>
          <w:tcPr>
            <w:tcW w:w="1074" w:type="dxa"/>
            <w:gridSpan w:val="2"/>
            <w:shd w:val="clear" w:color="auto" w:fill="auto"/>
            <w:vAlign w:val="center"/>
          </w:tcPr>
          <w:p w14:paraId="686C2B2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7A0D9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75227662">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680D287D">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1988F0C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DCS5220</w:t>
            </w:r>
          </w:p>
        </w:tc>
        <w:tc>
          <w:tcPr>
            <w:tcW w:w="2746" w:type="dxa"/>
            <w:shd w:val="clear" w:color="auto" w:fill="auto"/>
            <w:vAlign w:val="center"/>
          </w:tcPr>
          <w:p w14:paraId="1C94E47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高级网络与信息安全技术</w:t>
            </w:r>
          </w:p>
          <w:p w14:paraId="3F5D7AA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Network and Information Security Technology</w:t>
            </w:r>
          </w:p>
        </w:tc>
        <w:tc>
          <w:tcPr>
            <w:tcW w:w="555" w:type="dxa"/>
            <w:shd w:val="clear" w:color="auto" w:fill="auto"/>
            <w:vAlign w:val="center"/>
          </w:tcPr>
          <w:p w14:paraId="28E7F8F3">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95" w:type="dxa"/>
            <w:shd w:val="clear" w:color="auto" w:fill="auto"/>
            <w:vAlign w:val="center"/>
          </w:tcPr>
          <w:p w14:paraId="15144B4D">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2025" w:type="dxa"/>
            <w:shd w:val="clear" w:color="auto" w:fill="auto"/>
            <w:vAlign w:val="center"/>
          </w:tcPr>
          <w:p w14:paraId="749E3692">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郑培嘉、卢伟、谢逸</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温武少</w:t>
            </w:r>
          </w:p>
        </w:tc>
        <w:tc>
          <w:tcPr>
            <w:tcW w:w="1074" w:type="dxa"/>
            <w:gridSpan w:val="2"/>
            <w:shd w:val="clear" w:color="auto" w:fill="auto"/>
            <w:vAlign w:val="center"/>
          </w:tcPr>
          <w:p w14:paraId="251A081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0A590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724" w:type="dxa"/>
            <w:vMerge w:val="continue"/>
            <w:textDirection w:val="tbRlV"/>
          </w:tcPr>
          <w:p w14:paraId="38794826">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4E87B6C1">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4354A447">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DCS5225</w:t>
            </w:r>
          </w:p>
        </w:tc>
        <w:tc>
          <w:tcPr>
            <w:tcW w:w="2746" w:type="dxa"/>
            <w:shd w:val="clear" w:color="auto" w:fill="auto"/>
            <w:vAlign w:val="center"/>
          </w:tcPr>
          <w:p w14:paraId="3EC0A77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数据挖掘</w:t>
            </w:r>
          </w:p>
          <w:p w14:paraId="5226E743">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Mining</w:t>
            </w:r>
          </w:p>
        </w:tc>
        <w:tc>
          <w:tcPr>
            <w:tcW w:w="555" w:type="dxa"/>
            <w:shd w:val="clear" w:color="auto" w:fill="auto"/>
            <w:vAlign w:val="center"/>
          </w:tcPr>
          <w:p w14:paraId="50722F26">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36</w:t>
            </w:r>
          </w:p>
        </w:tc>
        <w:tc>
          <w:tcPr>
            <w:tcW w:w="495" w:type="dxa"/>
            <w:shd w:val="clear" w:color="auto" w:fill="auto"/>
            <w:vAlign w:val="center"/>
          </w:tcPr>
          <w:p w14:paraId="5C2E7F67">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2</w:t>
            </w:r>
          </w:p>
        </w:tc>
        <w:tc>
          <w:tcPr>
            <w:tcW w:w="2025" w:type="dxa"/>
            <w:shd w:val="clear" w:color="auto" w:fill="auto"/>
            <w:vAlign w:val="center"/>
          </w:tcPr>
          <w:p w14:paraId="70C74935">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潘嵘、梁上松、刘玉葆、赖韩江、王昌栋、陈林</w:t>
            </w:r>
          </w:p>
        </w:tc>
        <w:tc>
          <w:tcPr>
            <w:tcW w:w="1074" w:type="dxa"/>
            <w:gridSpan w:val="2"/>
            <w:shd w:val="clear" w:color="auto" w:fill="auto"/>
            <w:vAlign w:val="center"/>
          </w:tcPr>
          <w:p w14:paraId="1EEC96B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62F2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10E5A9B9">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6E92130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6E6AE570">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DCS5210</w:t>
            </w:r>
          </w:p>
        </w:tc>
        <w:tc>
          <w:tcPr>
            <w:tcW w:w="2746" w:type="dxa"/>
            <w:shd w:val="clear" w:color="auto" w:fill="auto"/>
            <w:vAlign w:val="center"/>
          </w:tcPr>
          <w:p w14:paraId="4F9E3A9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高级算法设计与分析</w:t>
            </w:r>
          </w:p>
          <w:p w14:paraId="16486601">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Algorithms and Programming Techniques</w:t>
            </w:r>
          </w:p>
        </w:tc>
        <w:tc>
          <w:tcPr>
            <w:tcW w:w="555" w:type="dxa"/>
            <w:shd w:val="clear" w:color="auto" w:fill="auto"/>
            <w:vAlign w:val="center"/>
          </w:tcPr>
          <w:p w14:paraId="47C5D507">
            <w:pPr>
              <w:snapToGrid w:val="0"/>
              <w:contextualSpacing/>
              <w:jc w:val="center"/>
              <w:rPr>
                <w:rFonts w:hint="eastAsia" w:ascii="Times New Roman" w:hAnsi="Times New Roman" w:eastAsia="仿宋_GB2312" w:cs="Times New Roman"/>
                <w:color w:val="000000" w:themeColor="text1"/>
                <w:kern w:val="2"/>
                <w:sz w:val="18"/>
                <w:szCs w:val="18"/>
                <w:highlight w:val="none"/>
                <w:lang w:val="en-US" w:eastAsia="zh-CN" w:bidi="ar-SA"/>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54</w:t>
            </w:r>
          </w:p>
        </w:tc>
        <w:tc>
          <w:tcPr>
            <w:tcW w:w="495" w:type="dxa"/>
            <w:shd w:val="clear" w:color="auto" w:fill="auto"/>
            <w:vAlign w:val="center"/>
          </w:tcPr>
          <w:p w14:paraId="1EADD731">
            <w:pPr>
              <w:snapToGrid w:val="0"/>
              <w:contextualSpacing/>
              <w:jc w:val="center"/>
              <w:rPr>
                <w:rFonts w:hint="eastAsia" w:ascii="Times New Roman" w:hAnsi="Times New Roman" w:eastAsia="仿宋_GB2312" w:cs="Times New Roman"/>
                <w:color w:val="000000" w:themeColor="text1"/>
                <w:kern w:val="2"/>
                <w:sz w:val="18"/>
                <w:szCs w:val="18"/>
                <w:highlight w:val="none"/>
                <w:lang w:val="en-US" w:eastAsia="zh-CN" w:bidi="ar-SA"/>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3</w:t>
            </w:r>
          </w:p>
        </w:tc>
        <w:tc>
          <w:tcPr>
            <w:tcW w:w="2025" w:type="dxa"/>
            <w:shd w:val="clear" w:color="auto" w:fill="auto"/>
            <w:vAlign w:val="center"/>
          </w:tcPr>
          <w:p w14:paraId="2A9F3C47">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eastAsia="仿宋_GB2312"/>
                <w:color w:val="000000" w:themeColor="text1"/>
                <w:kern w:val="0"/>
                <w:sz w:val="18"/>
                <w:szCs w:val="18"/>
                <w:highlight w:val="none"/>
                <w:lang w:val="en-US" w:eastAsia="zh-CN"/>
                <w14:textFill>
                  <w14:solidFill>
                    <w14:schemeClr w14:val="tx1"/>
                  </w14:solidFill>
                </w14:textFill>
              </w:rPr>
              <w:t>凌应标、戴智明、张子臻、冯剑琳、林瀚</w:t>
            </w:r>
          </w:p>
        </w:tc>
        <w:tc>
          <w:tcPr>
            <w:tcW w:w="1074" w:type="dxa"/>
            <w:gridSpan w:val="2"/>
            <w:shd w:val="clear" w:color="auto" w:fill="auto"/>
            <w:vAlign w:val="center"/>
          </w:tcPr>
          <w:p w14:paraId="3068A0E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54BC9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37A96E7F">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2021E62C">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shd w:val="clear" w:color="auto" w:fill="auto"/>
            <w:vAlign w:val="center"/>
          </w:tcPr>
          <w:p w14:paraId="5606506A">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DCS5204</w:t>
            </w:r>
          </w:p>
        </w:tc>
        <w:tc>
          <w:tcPr>
            <w:tcW w:w="2746" w:type="dxa"/>
            <w:shd w:val="clear" w:color="auto" w:fill="auto"/>
            <w:vAlign w:val="center"/>
          </w:tcPr>
          <w:p w14:paraId="0BB1235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高级计算机体系结构</w:t>
            </w:r>
          </w:p>
          <w:p w14:paraId="3FFFD85A">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Architecture</w:t>
            </w:r>
          </w:p>
        </w:tc>
        <w:tc>
          <w:tcPr>
            <w:tcW w:w="555" w:type="dxa"/>
            <w:shd w:val="clear" w:color="auto" w:fill="auto"/>
            <w:vAlign w:val="center"/>
          </w:tcPr>
          <w:p w14:paraId="7F1676E0">
            <w:pPr>
              <w:snapToGrid w:val="0"/>
              <w:contextualSpacing/>
              <w:jc w:val="center"/>
              <w:rPr>
                <w:rFonts w:hint="eastAsia" w:ascii="仿宋" w:hAnsi="仿宋" w:eastAsia="仿宋" w:cs="Times New Roman"/>
                <w:color w:val="000000" w:themeColor="text1"/>
                <w:kern w:val="0"/>
                <w:sz w:val="16"/>
                <w:szCs w:val="16"/>
                <w:highlight w:val="none"/>
                <w:lang w:val="en-US" w:eastAsia="zh-CN" w:bidi="ar-SA"/>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54</w:t>
            </w:r>
          </w:p>
        </w:tc>
        <w:tc>
          <w:tcPr>
            <w:tcW w:w="495" w:type="dxa"/>
            <w:shd w:val="clear" w:color="auto" w:fill="auto"/>
            <w:vAlign w:val="center"/>
          </w:tcPr>
          <w:p w14:paraId="4D4B68B8">
            <w:pPr>
              <w:snapToGrid w:val="0"/>
              <w:contextualSpacing/>
              <w:jc w:val="center"/>
              <w:rPr>
                <w:rFonts w:hint="eastAsia" w:ascii="仿宋" w:hAnsi="仿宋" w:eastAsia="仿宋" w:cs="Times New Roman"/>
                <w:color w:val="000000" w:themeColor="text1"/>
                <w:kern w:val="0"/>
                <w:sz w:val="16"/>
                <w:szCs w:val="16"/>
                <w:highlight w:val="none"/>
                <w:lang w:val="en-US" w:eastAsia="zh-CN" w:bidi="ar-SA"/>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3</w:t>
            </w:r>
          </w:p>
        </w:tc>
        <w:tc>
          <w:tcPr>
            <w:tcW w:w="2025" w:type="dxa"/>
            <w:shd w:val="clear" w:color="auto" w:fill="auto"/>
            <w:vAlign w:val="center"/>
          </w:tcPr>
          <w:p w14:paraId="7A8F9D66">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陈志广、吴迪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黄聃、张献伟、胡淼</w:t>
            </w:r>
          </w:p>
        </w:tc>
        <w:tc>
          <w:tcPr>
            <w:tcW w:w="1074" w:type="dxa"/>
            <w:gridSpan w:val="2"/>
            <w:shd w:val="clear" w:color="auto" w:fill="auto"/>
            <w:vAlign w:val="center"/>
          </w:tcPr>
          <w:p w14:paraId="5AEC5AE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29D7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extDirection w:val="tbRlV"/>
          </w:tcPr>
          <w:p w14:paraId="7AD03BCB">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724" w:type="dxa"/>
            <w:vMerge w:val="continue"/>
            <w:textDirection w:val="tbRlV"/>
          </w:tcPr>
          <w:p w14:paraId="31F69B6E">
            <w:pPr>
              <w:spacing w:line="500" w:lineRule="exact"/>
              <w:ind w:left="113" w:right="113"/>
              <w:jc w:val="cente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4E16D5D">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DCS5212</w:t>
            </w:r>
          </w:p>
        </w:tc>
        <w:tc>
          <w:tcPr>
            <w:tcW w:w="2746" w:type="dxa"/>
            <w:vAlign w:val="center"/>
          </w:tcPr>
          <w:p w14:paraId="798D476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高级计算机网络</w:t>
            </w:r>
          </w:p>
          <w:p w14:paraId="541E7C3E">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Computer Networks</w:t>
            </w:r>
          </w:p>
        </w:tc>
        <w:tc>
          <w:tcPr>
            <w:tcW w:w="555" w:type="dxa"/>
            <w:vAlign w:val="center"/>
          </w:tcPr>
          <w:p w14:paraId="7BC231DD">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54</w:t>
            </w:r>
          </w:p>
        </w:tc>
        <w:tc>
          <w:tcPr>
            <w:tcW w:w="495" w:type="dxa"/>
            <w:vAlign w:val="center"/>
          </w:tcPr>
          <w:p w14:paraId="1D89A49B">
            <w:pPr>
              <w:snapToGrid w:val="0"/>
              <w:contextualSpacing/>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w:t>
            </w:r>
          </w:p>
        </w:tc>
        <w:tc>
          <w:tcPr>
            <w:tcW w:w="2025" w:type="dxa"/>
            <w:vAlign w:val="center"/>
          </w:tcPr>
          <w:p w14:paraId="3AE02502">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温武少、张晓溪</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黄倩怡、陈林、谢逸</w:t>
            </w:r>
          </w:p>
        </w:tc>
        <w:tc>
          <w:tcPr>
            <w:tcW w:w="1074" w:type="dxa"/>
            <w:gridSpan w:val="2"/>
            <w:vAlign w:val="center"/>
          </w:tcPr>
          <w:p w14:paraId="2FD9CB71">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F94E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restart"/>
            <w:vAlign w:val="center"/>
          </w:tcPr>
          <w:p w14:paraId="0B3A3722">
            <w:pPr>
              <w:rPr>
                <w:rFonts w:hint="eastAsia" w:eastAsia="仿宋_GB2312"/>
                <w:color w:val="000000" w:themeColor="text1"/>
                <w:kern w:val="0"/>
                <w:sz w:val="18"/>
                <w:szCs w:val="18"/>
                <w:highlight w:val="none"/>
                <w:lang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选修课</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建议3学分</w:t>
            </w:r>
            <w:r>
              <w:rPr>
                <w:rFonts w:hint="eastAsia" w:eastAsia="仿宋_GB2312"/>
                <w:color w:val="000000" w:themeColor="text1"/>
                <w:kern w:val="0"/>
                <w:sz w:val="18"/>
                <w:szCs w:val="18"/>
                <w:highlight w:val="none"/>
                <w:lang w:eastAsia="zh-CN"/>
                <w14:textFill>
                  <w14:solidFill>
                    <w14:schemeClr w14:val="tx1"/>
                  </w14:solidFill>
                </w14:textFill>
              </w:rPr>
              <w:t>）</w:t>
            </w:r>
          </w:p>
        </w:tc>
        <w:tc>
          <w:tcPr>
            <w:tcW w:w="724" w:type="dxa"/>
            <w:vMerge w:val="restart"/>
            <w:vAlign w:val="center"/>
          </w:tcPr>
          <w:p w14:paraId="07010AEB">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模块1：理论与算法</w:t>
            </w:r>
          </w:p>
        </w:tc>
        <w:tc>
          <w:tcPr>
            <w:tcW w:w="1249" w:type="dxa"/>
            <w:vAlign w:val="center"/>
          </w:tcPr>
          <w:p w14:paraId="5A124EAB">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DCS5227</w:t>
            </w:r>
          </w:p>
        </w:tc>
        <w:tc>
          <w:tcPr>
            <w:tcW w:w="2746" w:type="dxa"/>
            <w:vAlign w:val="center"/>
          </w:tcPr>
          <w:p w14:paraId="6BC3832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图论算法</w:t>
            </w:r>
          </w:p>
          <w:p w14:paraId="6293B7A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Graph Theory Algorithm</w:t>
            </w:r>
          </w:p>
        </w:tc>
        <w:tc>
          <w:tcPr>
            <w:tcW w:w="555" w:type="dxa"/>
            <w:vAlign w:val="center"/>
          </w:tcPr>
          <w:p w14:paraId="7A9168CC">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53363F43">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7A20B771">
            <w:pPr>
              <w:jc w:val="left"/>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潘嵘、陈林</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冯剑琳</w:t>
            </w:r>
          </w:p>
        </w:tc>
        <w:tc>
          <w:tcPr>
            <w:tcW w:w="1074" w:type="dxa"/>
            <w:gridSpan w:val="2"/>
            <w:vAlign w:val="center"/>
          </w:tcPr>
          <w:p w14:paraId="5CB1EE0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6EC3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24" w:type="dxa"/>
            <w:vMerge w:val="continue"/>
            <w:vAlign w:val="center"/>
          </w:tcPr>
          <w:p w14:paraId="07EBC735">
            <w:pPr>
              <w:rPr>
                <w:rFonts w:hint="eastAsia"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131FB49B">
            <w:pPr>
              <w:rPr>
                <w:rFonts w:hint="eastAsia" w:ascii="仿宋_GB2312" w:hAnsi="宋体" w:eastAsia="仿宋_GB2312"/>
                <w:color w:val="000000" w:themeColor="text1"/>
                <w:sz w:val="16"/>
                <w:szCs w:val="16"/>
                <w:highlight w:val="none"/>
                <w14:textFill>
                  <w14:solidFill>
                    <w14:schemeClr w14:val="tx1"/>
                  </w14:solidFill>
                </w14:textFill>
              </w:rPr>
            </w:pPr>
          </w:p>
        </w:tc>
        <w:tc>
          <w:tcPr>
            <w:tcW w:w="1249" w:type="dxa"/>
            <w:vAlign w:val="center"/>
          </w:tcPr>
          <w:p w14:paraId="67986101">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DCS5233</w:t>
            </w:r>
          </w:p>
        </w:tc>
        <w:tc>
          <w:tcPr>
            <w:tcW w:w="2746" w:type="dxa"/>
            <w:vAlign w:val="center"/>
          </w:tcPr>
          <w:p w14:paraId="7162CDA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界面问题数值方法</w:t>
            </w:r>
          </w:p>
          <w:p w14:paraId="3524400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Numerical Methods for Interface Problems</w:t>
            </w:r>
          </w:p>
        </w:tc>
        <w:tc>
          <w:tcPr>
            <w:tcW w:w="555" w:type="dxa"/>
            <w:vAlign w:val="center"/>
          </w:tcPr>
          <w:p w14:paraId="64875F65">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41BB5D63">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114CC88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谭志军</w:t>
            </w:r>
          </w:p>
        </w:tc>
        <w:tc>
          <w:tcPr>
            <w:tcW w:w="1074" w:type="dxa"/>
            <w:gridSpan w:val="2"/>
            <w:vAlign w:val="center"/>
          </w:tcPr>
          <w:p w14:paraId="1C6185C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9A65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9BAF209">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8E638D2">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35A61B8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DCS5254</w:t>
            </w:r>
          </w:p>
        </w:tc>
        <w:tc>
          <w:tcPr>
            <w:tcW w:w="2746" w:type="dxa"/>
            <w:vAlign w:val="center"/>
          </w:tcPr>
          <w:p w14:paraId="0CDB8C18">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现代偏微分方程计算方法</w:t>
            </w:r>
          </w:p>
          <w:p w14:paraId="3522D48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Modern Methods for Calculating Partial Differential Equations</w:t>
            </w:r>
          </w:p>
        </w:tc>
        <w:tc>
          <w:tcPr>
            <w:tcW w:w="555" w:type="dxa"/>
            <w:vAlign w:val="center"/>
          </w:tcPr>
          <w:p w14:paraId="78B217BF">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CFA6AE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68DCA820">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邹青松、谭志军</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汪涛</w:t>
            </w:r>
          </w:p>
        </w:tc>
        <w:tc>
          <w:tcPr>
            <w:tcW w:w="1074" w:type="dxa"/>
            <w:gridSpan w:val="2"/>
            <w:vAlign w:val="center"/>
          </w:tcPr>
          <w:p w14:paraId="66C6B9E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234F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5E7199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DF42AE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F1F25F1">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DCS5256</w:t>
            </w:r>
          </w:p>
        </w:tc>
        <w:tc>
          <w:tcPr>
            <w:tcW w:w="2746" w:type="dxa"/>
            <w:vAlign w:val="center"/>
          </w:tcPr>
          <w:p w14:paraId="1D81542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复变函数</w:t>
            </w:r>
          </w:p>
          <w:p w14:paraId="16420BA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Functions of Complex Variables</w:t>
            </w:r>
          </w:p>
        </w:tc>
        <w:tc>
          <w:tcPr>
            <w:tcW w:w="555" w:type="dxa"/>
            <w:vAlign w:val="center"/>
          </w:tcPr>
          <w:p w14:paraId="3940E67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C1BE33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5A5C243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骆伟祺</w:t>
            </w:r>
          </w:p>
        </w:tc>
        <w:tc>
          <w:tcPr>
            <w:tcW w:w="1074" w:type="dxa"/>
            <w:gridSpan w:val="2"/>
            <w:vAlign w:val="center"/>
          </w:tcPr>
          <w:p w14:paraId="5A29EC0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36643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73C5EA0">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41CF00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D4BE8E3">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DCS5235</w:t>
            </w:r>
          </w:p>
        </w:tc>
        <w:tc>
          <w:tcPr>
            <w:tcW w:w="2746" w:type="dxa"/>
            <w:vAlign w:val="center"/>
          </w:tcPr>
          <w:p w14:paraId="3C45406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线性积分方程理论与算法</w:t>
            </w:r>
          </w:p>
          <w:p w14:paraId="2FF286D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Theory and Algorithms of Linear Integral Equations</w:t>
            </w:r>
          </w:p>
        </w:tc>
        <w:tc>
          <w:tcPr>
            <w:tcW w:w="555" w:type="dxa"/>
            <w:vAlign w:val="center"/>
          </w:tcPr>
          <w:p w14:paraId="2DB9449C">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36</w:t>
            </w:r>
          </w:p>
        </w:tc>
        <w:tc>
          <w:tcPr>
            <w:tcW w:w="495" w:type="dxa"/>
            <w:vAlign w:val="center"/>
          </w:tcPr>
          <w:p w14:paraId="667068B5">
            <w:pPr>
              <w:snapToGrid w:val="0"/>
              <w:contextualSpacing/>
              <w:jc w:val="center"/>
              <w:rPr>
                <w:rFonts w:ascii="仿宋" w:hAnsi="仿宋" w:eastAsia="仿宋"/>
                <w:color w:val="000000" w:themeColor="text1"/>
                <w:kern w:val="0"/>
                <w:sz w:val="16"/>
                <w:szCs w:val="16"/>
                <w:highlight w:val="none"/>
                <w14:textFill>
                  <w14:solidFill>
                    <w14:schemeClr w14:val="tx1"/>
                  </w14:solidFill>
                </w14:textFill>
              </w:rPr>
            </w:pPr>
            <w:r>
              <w:rPr>
                <w:rFonts w:ascii="仿宋" w:hAnsi="仿宋" w:eastAsia="仿宋"/>
                <w:color w:val="000000" w:themeColor="text1"/>
                <w:kern w:val="0"/>
                <w:sz w:val="16"/>
                <w:szCs w:val="16"/>
                <w:highlight w:val="none"/>
                <w14:textFill>
                  <w14:solidFill>
                    <w14:schemeClr w14:val="tx1"/>
                  </w14:solidFill>
                </w14:textFill>
              </w:rPr>
              <w:t>2</w:t>
            </w:r>
          </w:p>
        </w:tc>
        <w:tc>
          <w:tcPr>
            <w:tcW w:w="2025" w:type="dxa"/>
            <w:vAlign w:val="center"/>
          </w:tcPr>
          <w:p w14:paraId="07FDB74E">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江颖、衡益</w:t>
            </w:r>
          </w:p>
        </w:tc>
        <w:tc>
          <w:tcPr>
            <w:tcW w:w="1074" w:type="dxa"/>
            <w:gridSpan w:val="2"/>
            <w:vAlign w:val="center"/>
          </w:tcPr>
          <w:p w14:paraId="350768F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66BB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329DF5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8A1F84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190A1B9">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DCS5237</w:t>
            </w:r>
          </w:p>
        </w:tc>
        <w:tc>
          <w:tcPr>
            <w:tcW w:w="2746" w:type="dxa"/>
            <w:vAlign w:val="center"/>
          </w:tcPr>
          <w:p w14:paraId="4D3BE79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量子计算</w:t>
            </w:r>
          </w:p>
          <w:p w14:paraId="71CF634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Quantum Computation</w:t>
            </w:r>
          </w:p>
        </w:tc>
        <w:tc>
          <w:tcPr>
            <w:tcW w:w="555" w:type="dxa"/>
            <w:vAlign w:val="center"/>
          </w:tcPr>
          <w:p w14:paraId="0D4D307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3BF5D8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50DBA50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邱道文、李绿周</w:t>
            </w:r>
          </w:p>
        </w:tc>
        <w:tc>
          <w:tcPr>
            <w:tcW w:w="1074" w:type="dxa"/>
            <w:gridSpan w:val="2"/>
            <w:vAlign w:val="center"/>
          </w:tcPr>
          <w:p w14:paraId="2B9F3135">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B35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CB52F42">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4B05D6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AFA178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DCS5704</w:t>
            </w:r>
          </w:p>
        </w:tc>
        <w:tc>
          <w:tcPr>
            <w:tcW w:w="2746" w:type="dxa"/>
            <w:vAlign w:val="center"/>
          </w:tcPr>
          <w:p w14:paraId="1233C87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量子信息论与编码</w:t>
            </w:r>
            <w:r>
              <w:rPr>
                <w:rFonts w:hint="eastAsia" w:eastAsia="仿宋_GB2312"/>
                <w:color w:val="000000" w:themeColor="text1"/>
                <w:kern w:val="0"/>
                <w:sz w:val="18"/>
                <w:szCs w:val="18"/>
                <w:highlight w:val="none"/>
                <w14:textFill>
                  <w14:solidFill>
                    <w14:schemeClr w14:val="tx1"/>
                  </w14:solidFill>
                </w14:textFill>
              </w:rPr>
              <w:br w:type="textWrapping"/>
            </w:r>
            <w:r>
              <w:rPr>
                <w:rFonts w:hint="eastAsia" w:eastAsia="仿宋_GB2312"/>
                <w:color w:val="000000" w:themeColor="text1"/>
                <w:kern w:val="0"/>
                <w:sz w:val="18"/>
                <w:szCs w:val="18"/>
                <w:highlight w:val="none"/>
                <w14:textFill>
                  <w14:solidFill>
                    <w14:schemeClr w14:val="tx1"/>
                  </w14:solidFill>
                </w14:textFill>
              </w:rPr>
              <w:t>Quantum Information Theory and Coding</w:t>
            </w:r>
          </w:p>
        </w:tc>
        <w:tc>
          <w:tcPr>
            <w:tcW w:w="555" w:type="dxa"/>
            <w:vAlign w:val="center"/>
          </w:tcPr>
          <w:p w14:paraId="5D72D7A4">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2E323521">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63A0899C">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马啸、李绿周</w:t>
            </w:r>
          </w:p>
        </w:tc>
        <w:tc>
          <w:tcPr>
            <w:tcW w:w="1074" w:type="dxa"/>
            <w:gridSpan w:val="2"/>
            <w:vAlign w:val="center"/>
          </w:tcPr>
          <w:p w14:paraId="5F6FBDC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4FCC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B532E33">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5BFE3C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87B79F0">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DCS5226</w:t>
            </w:r>
          </w:p>
        </w:tc>
        <w:tc>
          <w:tcPr>
            <w:tcW w:w="2746" w:type="dxa"/>
            <w:vAlign w:val="center"/>
          </w:tcPr>
          <w:p w14:paraId="53CEAB42">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形式语言与自动机理论</w:t>
            </w:r>
          </w:p>
          <w:p w14:paraId="5B80081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Formal Language and Automata</w:t>
            </w:r>
          </w:p>
        </w:tc>
        <w:tc>
          <w:tcPr>
            <w:tcW w:w="555" w:type="dxa"/>
            <w:vAlign w:val="center"/>
          </w:tcPr>
          <w:p w14:paraId="4A3C9636">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13FC530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0ED47639">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邱道文</w:t>
            </w:r>
          </w:p>
        </w:tc>
        <w:tc>
          <w:tcPr>
            <w:tcW w:w="1074" w:type="dxa"/>
            <w:gridSpan w:val="2"/>
            <w:vAlign w:val="center"/>
          </w:tcPr>
          <w:p w14:paraId="02C88D3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5697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71616D8">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1C90050B">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2FF19E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DCS5705</w:t>
            </w:r>
          </w:p>
        </w:tc>
        <w:tc>
          <w:tcPr>
            <w:tcW w:w="2746" w:type="dxa"/>
            <w:vAlign w:val="center"/>
          </w:tcPr>
          <w:p w14:paraId="6A52861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计算机程序理论与模型</w:t>
            </w:r>
          </w:p>
          <w:p w14:paraId="09EF8F9C">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Computer Program Theory and Modeling</w:t>
            </w:r>
          </w:p>
        </w:tc>
        <w:tc>
          <w:tcPr>
            <w:tcW w:w="555" w:type="dxa"/>
            <w:vAlign w:val="center"/>
          </w:tcPr>
          <w:p w14:paraId="58D9A7B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8357C8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1F871198">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万海</w:t>
            </w:r>
          </w:p>
        </w:tc>
        <w:tc>
          <w:tcPr>
            <w:tcW w:w="1074" w:type="dxa"/>
            <w:gridSpan w:val="2"/>
            <w:vAlign w:val="center"/>
          </w:tcPr>
          <w:p w14:paraId="17C6AE8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776C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88D36C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1EB6D7C">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FCE7C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DCS5715</w:t>
            </w:r>
          </w:p>
        </w:tc>
        <w:tc>
          <w:tcPr>
            <w:tcW w:w="2746" w:type="dxa"/>
            <w:vAlign w:val="center"/>
          </w:tcPr>
          <w:p w14:paraId="24142E3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可计算性与数理逻辑</w:t>
            </w:r>
          </w:p>
          <w:p w14:paraId="5188C49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Computability and Mathematical Logic</w:t>
            </w:r>
          </w:p>
        </w:tc>
        <w:tc>
          <w:tcPr>
            <w:tcW w:w="555" w:type="dxa"/>
            <w:vAlign w:val="center"/>
          </w:tcPr>
          <w:p w14:paraId="09BC183A">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95" w:type="dxa"/>
            <w:vAlign w:val="center"/>
          </w:tcPr>
          <w:p w14:paraId="74A2025C">
            <w:pPr>
              <w:snapToGrid w:val="0"/>
              <w:jc w:val="cente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2025" w:type="dxa"/>
            <w:vAlign w:val="center"/>
          </w:tcPr>
          <w:p w14:paraId="7A41A6C6">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刘咏梅、周晓聪</w:t>
            </w:r>
          </w:p>
        </w:tc>
        <w:tc>
          <w:tcPr>
            <w:tcW w:w="1074" w:type="dxa"/>
            <w:gridSpan w:val="2"/>
            <w:vAlign w:val="center"/>
          </w:tcPr>
          <w:p w14:paraId="18DA5CE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F18A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E935093">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23EC93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81EAB74">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DCS5230</w:t>
            </w:r>
          </w:p>
        </w:tc>
        <w:tc>
          <w:tcPr>
            <w:tcW w:w="2746" w:type="dxa"/>
            <w:vAlign w:val="center"/>
          </w:tcPr>
          <w:p w14:paraId="798F305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有限域基础</w:t>
            </w:r>
          </w:p>
          <w:p w14:paraId="2B42AEE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Introduction to Finite Fields</w:t>
            </w:r>
          </w:p>
        </w:tc>
        <w:tc>
          <w:tcPr>
            <w:tcW w:w="555" w:type="dxa"/>
            <w:vAlign w:val="center"/>
          </w:tcPr>
          <w:p w14:paraId="7F04291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7B9FF43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25F30AB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韦宝典、杜育松</w:t>
            </w:r>
          </w:p>
        </w:tc>
        <w:tc>
          <w:tcPr>
            <w:tcW w:w="1074" w:type="dxa"/>
            <w:gridSpan w:val="2"/>
            <w:vAlign w:val="center"/>
          </w:tcPr>
          <w:p w14:paraId="4A4E6239">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1AE5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1983637C">
            <w:pPr>
              <w:rPr>
                <w:rFonts w:ascii="仿宋_GB2312" w:hAnsi="华文仿宋" w:eastAsia="仿宋_GB2312"/>
                <w:color w:val="000000" w:themeColor="text1"/>
                <w:kern w:val="0"/>
                <w:sz w:val="16"/>
                <w:szCs w:val="16"/>
                <w:highlight w:val="none"/>
                <w14:textFill>
                  <w14:solidFill>
                    <w14:schemeClr w14:val="tx1"/>
                  </w14:solidFill>
                </w14:textFill>
              </w:rPr>
            </w:pPr>
          </w:p>
        </w:tc>
        <w:tc>
          <w:tcPr>
            <w:tcW w:w="724" w:type="dxa"/>
            <w:vMerge w:val="restart"/>
            <w:vAlign w:val="center"/>
          </w:tcPr>
          <w:p w14:paraId="7F6B59C5">
            <w:pPr>
              <w:rPr>
                <w:rFonts w:ascii="仿宋_GB2312" w:hAnsi="华文仿宋" w:eastAsia="仿宋_GB2312"/>
                <w:color w:val="000000" w:themeColor="text1"/>
                <w:kern w:val="0"/>
                <w:sz w:val="16"/>
                <w:szCs w:val="16"/>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模块2：系统与网络</w:t>
            </w:r>
          </w:p>
        </w:tc>
        <w:tc>
          <w:tcPr>
            <w:tcW w:w="1249" w:type="dxa"/>
            <w:vAlign w:val="center"/>
          </w:tcPr>
          <w:p w14:paraId="13C17DD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DCS5238</w:t>
            </w:r>
          </w:p>
        </w:tc>
        <w:tc>
          <w:tcPr>
            <w:tcW w:w="2746" w:type="dxa"/>
            <w:vAlign w:val="center"/>
          </w:tcPr>
          <w:p w14:paraId="65B3A62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边缘计算</w:t>
            </w:r>
          </w:p>
          <w:p w14:paraId="01352DC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Edge Computing</w:t>
            </w:r>
          </w:p>
        </w:tc>
        <w:tc>
          <w:tcPr>
            <w:tcW w:w="555" w:type="dxa"/>
            <w:vAlign w:val="center"/>
          </w:tcPr>
          <w:p w14:paraId="231D6928">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4F577F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398C3DF9">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陈旭、周知、于帅</w:t>
            </w:r>
          </w:p>
        </w:tc>
        <w:tc>
          <w:tcPr>
            <w:tcW w:w="1074" w:type="dxa"/>
            <w:gridSpan w:val="2"/>
            <w:vAlign w:val="center"/>
          </w:tcPr>
          <w:p w14:paraId="2ABB4FA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77A11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CF374F4">
            <w:pPr>
              <w:rPr>
                <w:rFonts w:ascii="仿宋_GB2312" w:hAnsi="华文仿宋" w:eastAsia="仿宋_GB2312"/>
                <w:color w:val="000000" w:themeColor="text1"/>
                <w:kern w:val="0"/>
                <w:sz w:val="16"/>
                <w:szCs w:val="16"/>
                <w:highlight w:val="none"/>
                <w14:textFill>
                  <w14:solidFill>
                    <w14:schemeClr w14:val="tx1"/>
                  </w14:solidFill>
                </w14:textFill>
              </w:rPr>
            </w:pPr>
          </w:p>
        </w:tc>
        <w:tc>
          <w:tcPr>
            <w:tcW w:w="724" w:type="dxa"/>
            <w:vMerge w:val="continue"/>
          </w:tcPr>
          <w:p w14:paraId="2295D9DF">
            <w:pPr>
              <w:rPr>
                <w:rFonts w:ascii="仿宋_GB2312" w:hAnsi="华文仿宋" w:eastAsia="仿宋_GB2312"/>
                <w:color w:val="000000" w:themeColor="text1"/>
                <w:kern w:val="0"/>
                <w:sz w:val="16"/>
                <w:szCs w:val="16"/>
                <w:highlight w:val="none"/>
                <w14:textFill>
                  <w14:solidFill>
                    <w14:schemeClr w14:val="tx1"/>
                  </w14:solidFill>
                </w14:textFill>
              </w:rPr>
            </w:pPr>
          </w:p>
        </w:tc>
        <w:tc>
          <w:tcPr>
            <w:tcW w:w="1249" w:type="dxa"/>
            <w:vAlign w:val="center"/>
          </w:tcPr>
          <w:p w14:paraId="790CB6B8">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DCS5231</w:t>
            </w:r>
          </w:p>
        </w:tc>
        <w:tc>
          <w:tcPr>
            <w:tcW w:w="2746" w:type="dxa"/>
            <w:vAlign w:val="center"/>
          </w:tcPr>
          <w:p w14:paraId="57B2E20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大数据存储技术</w:t>
            </w:r>
          </w:p>
          <w:p w14:paraId="21DAD88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Big Data Storage Technology</w:t>
            </w:r>
          </w:p>
        </w:tc>
        <w:tc>
          <w:tcPr>
            <w:tcW w:w="555" w:type="dxa"/>
            <w:vAlign w:val="center"/>
          </w:tcPr>
          <w:p w14:paraId="136DE60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B2E2FB1">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2D9CF17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陈志广、肖侬</w:t>
            </w:r>
          </w:p>
        </w:tc>
        <w:tc>
          <w:tcPr>
            <w:tcW w:w="1074" w:type="dxa"/>
            <w:gridSpan w:val="2"/>
            <w:vAlign w:val="center"/>
          </w:tcPr>
          <w:p w14:paraId="1846BDFA">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0C26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C29CF4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21D18067">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6A2F5EC">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DCS5258</w:t>
            </w:r>
          </w:p>
        </w:tc>
        <w:tc>
          <w:tcPr>
            <w:tcW w:w="2746" w:type="dxa"/>
            <w:vAlign w:val="center"/>
          </w:tcPr>
          <w:p w14:paraId="1164D0C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区块链原理与技术</w:t>
            </w:r>
          </w:p>
          <w:p w14:paraId="629C47F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Blockchain Principles and Technologies</w:t>
            </w:r>
          </w:p>
        </w:tc>
        <w:tc>
          <w:tcPr>
            <w:tcW w:w="555" w:type="dxa"/>
            <w:vAlign w:val="center"/>
          </w:tcPr>
          <w:p w14:paraId="2A2CFE13">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2EEC62AD">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7F978B13">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陈亮</w:t>
            </w:r>
          </w:p>
        </w:tc>
        <w:tc>
          <w:tcPr>
            <w:tcW w:w="1074" w:type="dxa"/>
            <w:gridSpan w:val="2"/>
            <w:vAlign w:val="center"/>
          </w:tcPr>
          <w:p w14:paraId="2B1F729D">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471EF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1FDC01E">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34A7E784">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FB0265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DCS5714</w:t>
            </w:r>
          </w:p>
        </w:tc>
        <w:tc>
          <w:tcPr>
            <w:tcW w:w="2746" w:type="dxa"/>
            <w:vAlign w:val="center"/>
          </w:tcPr>
          <w:p w14:paraId="2262F09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无线通信与网络</w:t>
            </w:r>
          </w:p>
          <w:p w14:paraId="24676BC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Wireless Communications and Networking</w:t>
            </w:r>
          </w:p>
        </w:tc>
        <w:tc>
          <w:tcPr>
            <w:tcW w:w="555" w:type="dxa"/>
            <w:vAlign w:val="center"/>
          </w:tcPr>
          <w:p w14:paraId="44C23C6F">
            <w:pPr>
              <w:snapToGrid w:val="0"/>
              <w:contextualSpacing/>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95" w:type="dxa"/>
            <w:vAlign w:val="center"/>
          </w:tcPr>
          <w:p w14:paraId="26F2E8B0">
            <w:pPr>
              <w:snapToGrid w:val="0"/>
              <w:contextualSpacing/>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2025" w:type="dxa"/>
            <w:vAlign w:val="center"/>
          </w:tcPr>
          <w:p w14:paraId="02EF8C4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龚杰、</w:t>
            </w:r>
            <w:r>
              <w:rPr>
                <w:rFonts w:hint="eastAsia" w:eastAsia="仿宋_GB2312"/>
                <w:color w:val="000000" w:themeColor="text1"/>
                <w:kern w:val="0"/>
                <w:sz w:val="18"/>
                <w:szCs w:val="18"/>
                <w:highlight w:val="none"/>
                <w:lang w:val="en-US" w:eastAsia="zh-CN"/>
                <w14:textFill>
                  <w14:solidFill>
                    <w14:schemeClr w14:val="tx1"/>
                  </w14:solidFill>
                </w14:textFill>
              </w:rPr>
              <w:t>陈林、李全忠、蔡穗华</w:t>
            </w:r>
          </w:p>
        </w:tc>
        <w:tc>
          <w:tcPr>
            <w:tcW w:w="1074" w:type="dxa"/>
            <w:gridSpan w:val="2"/>
            <w:vAlign w:val="center"/>
          </w:tcPr>
          <w:p w14:paraId="0CB57040">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1F7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E91F091">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7D5DAD27">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D17677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DCS5712</w:t>
            </w:r>
          </w:p>
        </w:tc>
        <w:tc>
          <w:tcPr>
            <w:tcW w:w="2746" w:type="dxa"/>
            <w:vAlign w:val="center"/>
          </w:tcPr>
          <w:p w14:paraId="55C44C3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嵌入式系统</w:t>
            </w:r>
          </w:p>
          <w:p w14:paraId="7E499A3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Embedded Systems</w:t>
            </w:r>
          </w:p>
        </w:tc>
        <w:tc>
          <w:tcPr>
            <w:tcW w:w="555" w:type="dxa"/>
            <w:vAlign w:val="center"/>
          </w:tcPr>
          <w:p w14:paraId="498EB0DA">
            <w:pPr>
              <w:snapToGrid w:val="0"/>
              <w:jc w:val="center"/>
              <w:rPr>
                <w:rFonts w:hint="default" w:ascii="仿宋_GB2312" w:hAnsi="华文仿宋" w:eastAsia="仿宋_GB2312"/>
                <w:color w:val="000000" w:themeColor="text1"/>
                <w:kern w:val="0"/>
                <w:sz w:val="16"/>
                <w:szCs w:val="16"/>
                <w:highlight w:val="none"/>
                <w:lang w:val="en-US"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36</w:t>
            </w:r>
          </w:p>
        </w:tc>
        <w:tc>
          <w:tcPr>
            <w:tcW w:w="495" w:type="dxa"/>
            <w:vAlign w:val="center"/>
          </w:tcPr>
          <w:p w14:paraId="7903FE19">
            <w:pPr>
              <w:snapToGrid w:val="0"/>
              <w:jc w:val="center"/>
              <w:rPr>
                <w:rFonts w:hint="eastAsia" w:ascii="仿宋_GB2312" w:hAnsi="华文仿宋" w:eastAsia="仿宋_GB2312"/>
                <w:color w:val="000000" w:themeColor="text1"/>
                <w:kern w:val="0"/>
                <w:sz w:val="16"/>
                <w:szCs w:val="16"/>
                <w:highlight w:val="none"/>
                <w:lang w:eastAsia="zh-CN"/>
                <w14:textFill>
                  <w14:solidFill>
                    <w14:schemeClr w14:val="tx1"/>
                  </w14:solidFill>
                </w14:textFill>
              </w:rPr>
            </w:pPr>
            <w:r>
              <w:rPr>
                <w:rFonts w:hint="eastAsia" w:ascii="仿宋_GB2312" w:hAnsi="宋体" w:eastAsia="仿宋_GB2312"/>
                <w:color w:val="000000" w:themeColor="text1"/>
                <w:sz w:val="16"/>
                <w:szCs w:val="16"/>
                <w:highlight w:val="none"/>
                <w:lang w:val="en-US" w:eastAsia="zh-CN"/>
                <w14:textFill>
                  <w14:solidFill>
                    <w14:schemeClr w14:val="tx1"/>
                  </w14:solidFill>
                </w14:textFill>
              </w:rPr>
              <w:t>2</w:t>
            </w:r>
          </w:p>
        </w:tc>
        <w:tc>
          <w:tcPr>
            <w:tcW w:w="2025" w:type="dxa"/>
            <w:vAlign w:val="center"/>
          </w:tcPr>
          <w:p w14:paraId="309D4B45">
            <w:pPr>
              <w:jc w:val="left"/>
              <w:rPr>
                <w:rFonts w:hint="eastAsia" w:eastAsia="仿宋_GB2312"/>
                <w:color w:val="000000" w:themeColor="text1"/>
                <w:kern w:val="0"/>
                <w:sz w:val="18"/>
                <w:szCs w:val="18"/>
                <w:highlight w:val="none"/>
                <w:lang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黄凯、陈刚</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赵帅、吴贺俊</w:t>
            </w:r>
          </w:p>
        </w:tc>
        <w:tc>
          <w:tcPr>
            <w:tcW w:w="1074" w:type="dxa"/>
            <w:gridSpan w:val="2"/>
            <w:vAlign w:val="center"/>
          </w:tcPr>
          <w:p w14:paraId="5C9C0E2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2CEA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7DCBBB2">
            <w:pPr>
              <w:rPr>
                <w:rFonts w:eastAsia="仿宋_GB2312"/>
                <w:color w:val="000000" w:themeColor="text1"/>
                <w:kern w:val="0"/>
                <w:sz w:val="18"/>
                <w:szCs w:val="18"/>
                <w:highlight w:val="none"/>
                <w14:textFill>
                  <w14:solidFill>
                    <w14:schemeClr w14:val="tx1"/>
                  </w14:solidFill>
                </w14:textFill>
              </w:rPr>
            </w:pPr>
          </w:p>
          <w:p w14:paraId="703F1284">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3157EB4E">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8928767">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DCS5713</w:t>
            </w:r>
          </w:p>
        </w:tc>
        <w:tc>
          <w:tcPr>
            <w:tcW w:w="2746" w:type="dxa"/>
            <w:vAlign w:val="center"/>
          </w:tcPr>
          <w:p w14:paraId="365CCDD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高级分布式系统</w:t>
            </w:r>
          </w:p>
          <w:p w14:paraId="6D05101E">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Distributed Systems</w:t>
            </w:r>
          </w:p>
        </w:tc>
        <w:tc>
          <w:tcPr>
            <w:tcW w:w="555" w:type="dxa"/>
            <w:vAlign w:val="center"/>
          </w:tcPr>
          <w:p w14:paraId="1D1990AD">
            <w:pPr>
              <w:snapToGrid w:val="0"/>
              <w:contextualSpacing/>
              <w:jc w:val="center"/>
              <w:rPr>
                <w:rFonts w:hint="default"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36</w:t>
            </w:r>
          </w:p>
        </w:tc>
        <w:tc>
          <w:tcPr>
            <w:tcW w:w="495" w:type="dxa"/>
            <w:vAlign w:val="center"/>
          </w:tcPr>
          <w:p w14:paraId="5E114FDE">
            <w:pPr>
              <w:snapToGrid w:val="0"/>
              <w:contextualSpacing/>
              <w:jc w:val="center"/>
              <w:rPr>
                <w:rFonts w:hint="eastAsia"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hint="eastAsia" w:ascii="仿宋_GB2312" w:hAnsi="华文仿宋" w:eastAsia="仿宋_GB2312"/>
                <w:color w:val="000000" w:themeColor="text1"/>
                <w:kern w:val="0"/>
                <w:sz w:val="16"/>
                <w:szCs w:val="16"/>
                <w:highlight w:val="none"/>
                <w:lang w:val="en-US" w:eastAsia="zh-CN"/>
                <w14:textFill>
                  <w14:solidFill>
                    <w14:schemeClr w14:val="tx1"/>
                  </w14:solidFill>
                </w14:textFill>
              </w:rPr>
              <w:t>2</w:t>
            </w:r>
          </w:p>
        </w:tc>
        <w:tc>
          <w:tcPr>
            <w:tcW w:w="2025" w:type="dxa"/>
            <w:vAlign w:val="center"/>
          </w:tcPr>
          <w:p w14:paraId="65DA634D">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陈鹏</w:t>
            </w:r>
            <w:r>
              <w:rPr>
                <w:rFonts w:hint="eastAsia" w:eastAsia="仿宋_GB2312"/>
                <w:color w:val="000000" w:themeColor="text1"/>
                <w:kern w:val="0"/>
                <w:sz w:val="18"/>
                <w:szCs w:val="18"/>
                <w:highlight w:val="none"/>
                <w:lang w:val="en-US" w:eastAsia="zh-CN"/>
                <w14:textFill>
                  <w14:solidFill>
                    <w14:schemeClr w14:val="tx1"/>
                  </w14:solidFill>
                </w14:textFill>
              </w:rPr>
              <w:t>飞</w:t>
            </w:r>
          </w:p>
        </w:tc>
        <w:tc>
          <w:tcPr>
            <w:tcW w:w="1074" w:type="dxa"/>
            <w:gridSpan w:val="2"/>
            <w:vAlign w:val="center"/>
          </w:tcPr>
          <w:p w14:paraId="02FA0A44">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6684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AEDB05E">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5AFABB67">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模块3：</w:t>
            </w:r>
            <w:r>
              <w:rPr>
                <w:rFonts w:ascii="仿宋_GB2312" w:hAnsi="宋体" w:eastAsia="仿宋_GB2312"/>
                <w:color w:val="000000" w:themeColor="text1"/>
                <w:sz w:val="16"/>
                <w:szCs w:val="16"/>
                <w:highlight w:val="none"/>
                <w14:textFill>
                  <w14:solidFill>
                    <w14:schemeClr w14:val="tx1"/>
                  </w14:solidFill>
                </w14:textFill>
              </w:rPr>
              <w:t>AI</w:t>
            </w:r>
            <w:r>
              <w:rPr>
                <w:rFonts w:hint="eastAsia" w:ascii="仿宋_GB2312" w:hAnsi="宋体" w:eastAsia="仿宋_GB2312"/>
                <w:color w:val="000000" w:themeColor="text1"/>
                <w:sz w:val="16"/>
                <w:szCs w:val="16"/>
                <w:highlight w:val="none"/>
                <w14:textFill>
                  <w14:solidFill>
                    <w14:schemeClr w14:val="tx1"/>
                  </w14:solidFill>
                </w14:textFill>
              </w:rPr>
              <w:t>与大数据</w:t>
            </w:r>
          </w:p>
        </w:tc>
        <w:tc>
          <w:tcPr>
            <w:tcW w:w="1249" w:type="dxa"/>
            <w:vAlign w:val="center"/>
          </w:tcPr>
          <w:p w14:paraId="438E49A5">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DCS5206</w:t>
            </w:r>
          </w:p>
        </w:tc>
        <w:tc>
          <w:tcPr>
            <w:tcW w:w="2746" w:type="dxa"/>
            <w:vAlign w:val="center"/>
          </w:tcPr>
          <w:p w14:paraId="2F0CF2A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数字图像处理</w:t>
            </w:r>
          </w:p>
          <w:p w14:paraId="0054E86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Digital Image Processing</w:t>
            </w:r>
          </w:p>
        </w:tc>
        <w:tc>
          <w:tcPr>
            <w:tcW w:w="555" w:type="dxa"/>
            <w:vAlign w:val="center"/>
          </w:tcPr>
          <w:p w14:paraId="02EFDD1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54</w:t>
            </w:r>
          </w:p>
        </w:tc>
        <w:tc>
          <w:tcPr>
            <w:tcW w:w="495" w:type="dxa"/>
            <w:vAlign w:val="center"/>
          </w:tcPr>
          <w:p w14:paraId="16760FF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w:t>
            </w:r>
          </w:p>
        </w:tc>
        <w:tc>
          <w:tcPr>
            <w:tcW w:w="2025" w:type="dxa"/>
            <w:vAlign w:val="center"/>
          </w:tcPr>
          <w:p w14:paraId="381E9CB2">
            <w:pPr>
              <w:rPr>
                <w:rFonts w:hint="eastAsia" w:eastAsia="仿宋_GB2312"/>
                <w:kern w:val="0"/>
                <w:sz w:val="18"/>
                <w:szCs w:val="18"/>
              </w:rPr>
            </w:pPr>
            <w:r>
              <w:rPr>
                <w:rFonts w:hint="eastAsia" w:eastAsia="仿宋_GB2312"/>
                <w:kern w:val="0"/>
                <w:sz w:val="18"/>
                <w:szCs w:val="18"/>
              </w:rPr>
              <w:t>谢晓华、赖剑煌、郑慧诚、刘宁、曾坤、潘炎、张青</w:t>
            </w:r>
          </w:p>
          <w:p w14:paraId="62B44731">
            <w:pPr>
              <w:jc w:val="left"/>
              <w:rPr>
                <w:rFonts w:hint="default" w:eastAsia="仿宋_GB2312"/>
                <w:color w:val="000000" w:themeColor="text1"/>
                <w:kern w:val="0"/>
                <w:sz w:val="18"/>
                <w:szCs w:val="18"/>
                <w:highlight w:val="none"/>
                <w:lang w:val="en-US" w:eastAsia="zh-CN"/>
                <w14:textFill>
                  <w14:solidFill>
                    <w14:schemeClr w14:val="tx1"/>
                  </w14:solidFill>
                </w14:textFill>
              </w:rPr>
            </w:pPr>
          </w:p>
        </w:tc>
        <w:tc>
          <w:tcPr>
            <w:tcW w:w="1074" w:type="dxa"/>
            <w:gridSpan w:val="2"/>
            <w:vAlign w:val="center"/>
          </w:tcPr>
          <w:p w14:paraId="0E162AA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272B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6B55C0B">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98F096D">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2706C3E6">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DCS5232</w:t>
            </w:r>
          </w:p>
        </w:tc>
        <w:tc>
          <w:tcPr>
            <w:tcW w:w="2746" w:type="dxa"/>
            <w:vAlign w:val="center"/>
          </w:tcPr>
          <w:p w14:paraId="4BE35E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深度学习前沿</w:t>
            </w:r>
          </w:p>
          <w:p w14:paraId="62C490B0">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Deep Learning</w:t>
            </w:r>
          </w:p>
        </w:tc>
        <w:tc>
          <w:tcPr>
            <w:tcW w:w="555" w:type="dxa"/>
            <w:vAlign w:val="center"/>
          </w:tcPr>
          <w:p w14:paraId="6A1DB98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41BFCEBD">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79B53434">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1074" w:type="dxa"/>
            <w:gridSpan w:val="2"/>
            <w:vAlign w:val="center"/>
          </w:tcPr>
          <w:p w14:paraId="3DC66B03">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6B1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0EC4609E">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E71713C">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1B82AC8">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DCS5234</w:t>
            </w:r>
          </w:p>
        </w:tc>
        <w:tc>
          <w:tcPr>
            <w:tcW w:w="2746" w:type="dxa"/>
            <w:vAlign w:val="center"/>
          </w:tcPr>
          <w:p w14:paraId="323A201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自然语言处理</w:t>
            </w:r>
          </w:p>
          <w:p w14:paraId="04F34E4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Natural Language Processing</w:t>
            </w:r>
          </w:p>
        </w:tc>
        <w:tc>
          <w:tcPr>
            <w:tcW w:w="555" w:type="dxa"/>
            <w:vAlign w:val="center"/>
          </w:tcPr>
          <w:p w14:paraId="678C830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F12D11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6CBD567B">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权小军、杨猛、潘嵘</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王可泽、梁上松</w:t>
            </w:r>
          </w:p>
        </w:tc>
        <w:tc>
          <w:tcPr>
            <w:tcW w:w="1074" w:type="dxa"/>
            <w:gridSpan w:val="2"/>
            <w:vAlign w:val="center"/>
          </w:tcPr>
          <w:p w14:paraId="62C932B2">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778D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6DC56E6">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ECC6098">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5451EBC">
            <w:pPr>
              <w:jc w:val="center"/>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DCS5257</w:t>
            </w:r>
          </w:p>
        </w:tc>
        <w:tc>
          <w:tcPr>
            <w:tcW w:w="2746" w:type="dxa"/>
            <w:vAlign w:val="center"/>
          </w:tcPr>
          <w:p w14:paraId="48FA66E4">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强化学习原理及应用</w:t>
            </w:r>
          </w:p>
          <w:p w14:paraId="3B03D53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Principles and Applications of Reinforcement Learning</w:t>
            </w:r>
          </w:p>
        </w:tc>
        <w:tc>
          <w:tcPr>
            <w:tcW w:w="555" w:type="dxa"/>
            <w:vAlign w:val="center"/>
          </w:tcPr>
          <w:p w14:paraId="18A103AE">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6BBC075C">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0E4C21A9">
            <w:pPr>
              <w:jc w:val="left"/>
              <w:rPr>
                <w:rFonts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余超</w:t>
            </w:r>
          </w:p>
        </w:tc>
        <w:tc>
          <w:tcPr>
            <w:tcW w:w="1074" w:type="dxa"/>
            <w:gridSpan w:val="2"/>
            <w:vAlign w:val="center"/>
          </w:tcPr>
          <w:p w14:paraId="1A30EF9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1642A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4395ECDF">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4752DF5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1836F8E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 xml:space="preserve">DCS5255 </w:t>
            </w:r>
          </w:p>
        </w:tc>
        <w:tc>
          <w:tcPr>
            <w:tcW w:w="2746" w:type="dxa"/>
            <w:vAlign w:val="center"/>
          </w:tcPr>
          <w:p w14:paraId="7BE3B469">
            <w:pPr>
              <w:jc w:val="both"/>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lang w:val="en-US" w:eastAsia="zh-CN"/>
                <w14:textFill>
                  <w14:solidFill>
                    <w14:schemeClr w14:val="tx1"/>
                  </w14:solidFill>
                </w14:textFill>
              </w:rPr>
              <w:t xml:space="preserve">数据科学与工程 </w:t>
            </w:r>
          </w:p>
          <w:p w14:paraId="0707F812">
            <w:pPr>
              <w:jc w:val="both"/>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 xml:space="preserve">Data Science and Engineering </w:t>
            </w:r>
          </w:p>
        </w:tc>
        <w:tc>
          <w:tcPr>
            <w:tcW w:w="555" w:type="dxa"/>
            <w:vAlign w:val="center"/>
          </w:tcPr>
          <w:p w14:paraId="57EAC828">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36</w:t>
            </w:r>
          </w:p>
        </w:tc>
        <w:tc>
          <w:tcPr>
            <w:tcW w:w="495" w:type="dxa"/>
            <w:vAlign w:val="center"/>
          </w:tcPr>
          <w:p w14:paraId="7DAECEAC">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2</w:t>
            </w:r>
          </w:p>
        </w:tc>
        <w:tc>
          <w:tcPr>
            <w:tcW w:w="2025" w:type="dxa"/>
            <w:vAlign w:val="center"/>
          </w:tcPr>
          <w:p w14:paraId="5DD5872B">
            <w:pPr>
              <w:jc w:val="both"/>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周杰英</w:t>
            </w:r>
          </w:p>
        </w:tc>
        <w:tc>
          <w:tcPr>
            <w:tcW w:w="1074" w:type="dxa"/>
            <w:gridSpan w:val="2"/>
            <w:vAlign w:val="center"/>
          </w:tcPr>
          <w:p w14:paraId="0C5D2A7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秋</w:t>
            </w:r>
          </w:p>
        </w:tc>
      </w:tr>
      <w:tr w14:paraId="45D8B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368FBE35">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5EB76CD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4A52FCFF">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DCS5228</w:t>
            </w:r>
          </w:p>
        </w:tc>
        <w:tc>
          <w:tcPr>
            <w:tcW w:w="2746" w:type="dxa"/>
            <w:vAlign w:val="center"/>
          </w:tcPr>
          <w:p w14:paraId="406A86C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知识表示与推理</w:t>
            </w:r>
          </w:p>
          <w:p w14:paraId="6311A027">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Knowledge Representation and Reasoning</w:t>
            </w:r>
          </w:p>
        </w:tc>
        <w:tc>
          <w:tcPr>
            <w:tcW w:w="555" w:type="dxa"/>
            <w:vAlign w:val="center"/>
          </w:tcPr>
          <w:p w14:paraId="38927E59">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6BAE9350">
            <w:pPr>
              <w:snapToGrid w:val="0"/>
              <w:jc w:val="center"/>
              <w:rPr>
                <w:rFonts w:ascii="仿宋_GB2312" w:hAnsi="华文仿宋" w:eastAsia="仿宋_GB2312" w:cs="Times New Roman"/>
                <w:color w:val="000000" w:themeColor="text1"/>
                <w:kern w:val="0"/>
                <w:sz w:val="16"/>
                <w:szCs w:val="16"/>
                <w:highlight w:val="none"/>
                <w:lang w:val="en-US" w:eastAsia="zh-CN" w:bidi="ar-SA"/>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068D08B9">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刘咏梅</w:t>
            </w:r>
          </w:p>
        </w:tc>
        <w:tc>
          <w:tcPr>
            <w:tcW w:w="1074" w:type="dxa"/>
            <w:gridSpan w:val="2"/>
            <w:vAlign w:val="center"/>
          </w:tcPr>
          <w:p w14:paraId="406FCE5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r w14:paraId="7168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E55867F">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3A5C257D">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模块4：安全与隐私</w:t>
            </w:r>
          </w:p>
        </w:tc>
        <w:tc>
          <w:tcPr>
            <w:tcW w:w="1249" w:type="dxa"/>
            <w:vAlign w:val="center"/>
          </w:tcPr>
          <w:p w14:paraId="49B47EF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DCS5242</w:t>
            </w:r>
          </w:p>
        </w:tc>
        <w:tc>
          <w:tcPr>
            <w:tcW w:w="2746" w:type="dxa"/>
            <w:vAlign w:val="center"/>
          </w:tcPr>
          <w:p w14:paraId="51D23DE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密码学前沿技术</w:t>
            </w:r>
          </w:p>
          <w:p w14:paraId="38F5330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Advanced Topics of Modern Cryptography</w:t>
            </w:r>
          </w:p>
        </w:tc>
        <w:tc>
          <w:tcPr>
            <w:tcW w:w="555" w:type="dxa"/>
            <w:vAlign w:val="center"/>
          </w:tcPr>
          <w:p w14:paraId="76237C5D">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78F78EC">
            <w:pPr>
              <w:snapToGrid w:val="0"/>
              <w:contextualSpacing/>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2395696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张方国、田海博</w:t>
            </w:r>
          </w:p>
        </w:tc>
        <w:tc>
          <w:tcPr>
            <w:tcW w:w="1074" w:type="dxa"/>
            <w:gridSpan w:val="2"/>
            <w:vAlign w:val="center"/>
          </w:tcPr>
          <w:p w14:paraId="72A698E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0E9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67B89F71">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10D73FD9">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2F15E6E">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DCS5243</w:t>
            </w:r>
          </w:p>
        </w:tc>
        <w:tc>
          <w:tcPr>
            <w:tcW w:w="2746" w:type="dxa"/>
            <w:vAlign w:val="center"/>
          </w:tcPr>
          <w:p w14:paraId="6E0BEE3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数据隐私保护与安全计算</w:t>
            </w:r>
          </w:p>
          <w:p w14:paraId="58C5BB97">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Data Privacy Protection and Secure Computing</w:t>
            </w:r>
          </w:p>
        </w:tc>
        <w:tc>
          <w:tcPr>
            <w:tcW w:w="555" w:type="dxa"/>
            <w:vAlign w:val="center"/>
          </w:tcPr>
          <w:p w14:paraId="1AB92D42">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4DE3DFB0">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4A1A025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桑应朋、郑培嘉</w:t>
            </w:r>
          </w:p>
        </w:tc>
        <w:tc>
          <w:tcPr>
            <w:tcW w:w="1074" w:type="dxa"/>
            <w:gridSpan w:val="2"/>
            <w:vAlign w:val="center"/>
          </w:tcPr>
          <w:p w14:paraId="5CCDF0B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2F96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782C6D0">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7B8A3CA6">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7CD79D57">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DCS5244</w:t>
            </w:r>
          </w:p>
        </w:tc>
        <w:tc>
          <w:tcPr>
            <w:tcW w:w="2746" w:type="dxa"/>
            <w:vAlign w:val="center"/>
          </w:tcPr>
          <w:p w14:paraId="17A82EF5">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多媒体内容安全</w:t>
            </w:r>
          </w:p>
          <w:p w14:paraId="09D4EC4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Multimedia Content Security</w:t>
            </w:r>
          </w:p>
        </w:tc>
        <w:tc>
          <w:tcPr>
            <w:tcW w:w="555" w:type="dxa"/>
            <w:vAlign w:val="center"/>
          </w:tcPr>
          <w:p w14:paraId="563DDA8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42E7EF9">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1920362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康显桂</w:t>
            </w:r>
          </w:p>
        </w:tc>
        <w:tc>
          <w:tcPr>
            <w:tcW w:w="1074" w:type="dxa"/>
            <w:gridSpan w:val="2"/>
            <w:vAlign w:val="center"/>
          </w:tcPr>
          <w:p w14:paraId="0C352CFB">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F083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9782543">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2BB462A0">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E3BC2D">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DCS5259</w:t>
            </w:r>
          </w:p>
        </w:tc>
        <w:tc>
          <w:tcPr>
            <w:tcW w:w="2746" w:type="dxa"/>
            <w:vAlign w:val="center"/>
          </w:tcPr>
          <w:p w14:paraId="117995FF">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网络安全创新思辨</w:t>
            </w:r>
          </w:p>
          <w:p w14:paraId="52BE58CD">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Cybersecurity Innovative Thinking and Critical Reasoning</w:t>
            </w:r>
          </w:p>
        </w:tc>
        <w:tc>
          <w:tcPr>
            <w:tcW w:w="555" w:type="dxa"/>
            <w:vAlign w:val="center"/>
          </w:tcPr>
          <w:p w14:paraId="3ADD58E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36</w:t>
            </w:r>
          </w:p>
        </w:tc>
        <w:tc>
          <w:tcPr>
            <w:tcW w:w="495" w:type="dxa"/>
            <w:vAlign w:val="center"/>
          </w:tcPr>
          <w:p w14:paraId="6F3D0DB7">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华文仿宋" w:eastAsia="仿宋_GB2312"/>
                <w:color w:val="000000" w:themeColor="text1"/>
                <w:kern w:val="0"/>
                <w:sz w:val="16"/>
                <w:szCs w:val="16"/>
                <w:highlight w:val="none"/>
                <w14:textFill>
                  <w14:solidFill>
                    <w14:schemeClr w14:val="tx1"/>
                  </w14:solidFill>
                </w14:textFill>
              </w:rPr>
              <w:t>2</w:t>
            </w:r>
          </w:p>
        </w:tc>
        <w:tc>
          <w:tcPr>
            <w:tcW w:w="2025" w:type="dxa"/>
            <w:vAlign w:val="center"/>
          </w:tcPr>
          <w:p w14:paraId="24F733EC">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金舒原</w:t>
            </w:r>
          </w:p>
        </w:tc>
        <w:tc>
          <w:tcPr>
            <w:tcW w:w="1074" w:type="dxa"/>
            <w:gridSpan w:val="2"/>
            <w:vAlign w:val="center"/>
          </w:tcPr>
          <w:p w14:paraId="2280BC2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51148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73F3EFBD">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64F697CB">
            <w:pPr>
              <w:rPr>
                <w:rFonts w:eastAsia="仿宋_GB2312"/>
                <w:color w:val="000000" w:themeColor="text1"/>
                <w:kern w:val="0"/>
                <w:sz w:val="18"/>
                <w:szCs w:val="18"/>
                <w:highlight w:val="none"/>
                <w14:textFill>
                  <w14:solidFill>
                    <w14:schemeClr w14:val="tx1"/>
                  </w14:solidFill>
                </w14:textFill>
              </w:rPr>
            </w:pPr>
            <w:r>
              <w:rPr>
                <w:rFonts w:hint="eastAsia" w:ascii="仿宋_GB2312" w:hAnsi="宋体" w:eastAsia="仿宋_GB2312"/>
                <w:color w:val="000000" w:themeColor="text1"/>
                <w:sz w:val="16"/>
                <w:szCs w:val="16"/>
                <w:highlight w:val="none"/>
                <w14:textFill>
                  <w14:solidFill>
                    <w14:schemeClr w14:val="tx1"/>
                  </w14:solidFill>
                </w14:textFill>
              </w:rPr>
              <w:t>模块5：软件与应用</w:t>
            </w:r>
          </w:p>
        </w:tc>
        <w:tc>
          <w:tcPr>
            <w:tcW w:w="1249" w:type="dxa"/>
            <w:vAlign w:val="center"/>
          </w:tcPr>
          <w:p w14:paraId="1E76C0C6">
            <w:pPr>
              <w:jc w:val="center"/>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DCS5246</w:t>
            </w:r>
          </w:p>
        </w:tc>
        <w:tc>
          <w:tcPr>
            <w:tcW w:w="2746" w:type="dxa"/>
            <w:vAlign w:val="center"/>
          </w:tcPr>
          <w:p w14:paraId="74644BA9">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面向对象技术</w:t>
            </w:r>
          </w:p>
          <w:p w14:paraId="648FEDF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Object-oriented Technology</w:t>
            </w:r>
          </w:p>
        </w:tc>
        <w:tc>
          <w:tcPr>
            <w:tcW w:w="555" w:type="dxa"/>
            <w:vAlign w:val="center"/>
          </w:tcPr>
          <w:p w14:paraId="586CB848">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3CC3E45A">
            <w:pPr>
              <w:snapToGrid w:val="0"/>
              <w:jc w:val="center"/>
              <w:rPr>
                <w:rFonts w:ascii="仿宋_GB2312" w:hAnsi="华文仿宋" w:eastAsia="仿宋_GB2312"/>
                <w:color w:val="000000" w:themeColor="text1"/>
                <w:kern w:val="0"/>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36251C55">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王青、温武少</w:t>
            </w:r>
          </w:p>
        </w:tc>
        <w:tc>
          <w:tcPr>
            <w:tcW w:w="1074" w:type="dxa"/>
            <w:gridSpan w:val="2"/>
            <w:vAlign w:val="center"/>
          </w:tcPr>
          <w:p w14:paraId="78B2C4E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063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5C4AB27">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6B70477A">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52EA9FEF">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DCS5247</w:t>
            </w:r>
          </w:p>
        </w:tc>
        <w:tc>
          <w:tcPr>
            <w:tcW w:w="2746" w:type="dxa"/>
            <w:vAlign w:val="center"/>
          </w:tcPr>
          <w:p w14:paraId="129B92F6">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计算可视媒体</w:t>
            </w:r>
          </w:p>
          <w:p w14:paraId="3EDAA8CA">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Computational Visual Media</w:t>
            </w:r>
          </w:p>
        </w:tc>
        <w:tc>
          <w:tcPr>
            <w:tcW w:w="555" w:type="dxa"/>
            <w:vAlign w:val="center"/>
          </w:tcPr>
          <w:p w14:paraId="3356A026">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B2037C2">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7521B995">
            <w:pPr>
              <w:jc w:val="left"/>
              <w:rPr>
                <w:rFonts w:eastAsia="仿宋_GB2312"/>
                <w:color w:val="000000" w:themeColor="text1"/>
                <w:kern w:val="0"/>
                <w:sz w:val="18"/>
                <w:szCs w:val="18"/>
                <w:highlight w:val="none"/>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苏卓</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高成英</w:t>
            </w:r>
            <w:r>
              <w:rPr>
                <w:rFonts w:hint="eastAsia" w:eastAsia="仿宋_GB2312"/>
                <w:color w:val="000000" w:themeColor="text1"/>
                <w:kern w:val="0"/>
                <w:sz w:val="18"/>
                <w:szCs w:val="18"/>
                <w:highlight w:val="none"/>
                <w:lang w:eastAsia="zh-CN"/>
                <w14:textFill>
                  <w14:solidFill>
                    <w14:schemeClr w14:val="tx1"/>
                  </w14:solidFill>
                </w14:textFill>
              </w:rPr>
              <w:t>、</w:t>
            </w:r>
            <w:r>
              <w:rPr>
                <w:rFonts w:eastAsia="仿宋_GB2312"/>
                <w:color w:val="000000" w:themeColor="text1"/>
                <w:kern w:val="0"/>
                <w:sz w:val="18"/>
                <w:szCs w:val="18"/>
                <w:highlight w:val="none"/>
                <w14:textFill>
                  <w14:solidFill>
                    <w14:schemeClr w14:val="tx1"/>
                  </w14:solidFill>
                </w14:textFill>
              </w:rPr>
              <w:t>刘宁</w:t>
            </w:r>
          </w:p>
        </w:tc>
        <w:tc>
          <w:tcPr>
            <w:tcW w:w="1074" w:type="dxa"/>
            <w:gridSpan w:val="2"/>
            <w:vAlign w:val="center"/>
          </w:tcPr>
          <w:p w14:paraId="6A6A33A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03CA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2CC5F58D">
            <w:pPr>
              <w:rPr>
                <w:rFonts w:eastAsia="仿宋_GB2312"/>
                <w:color w:val="000000" w:themeColor="text1"/>
                <w:kern w:val="0"/>
                <w:sz w:val="18"/>
                <w:szCs w:val="18"/>
                <w:highlight w:val="none"/>
                <w14:textFill>
                  <w14:solidFill>
                    <w14:schemeClr w14:val="tx1"/>
                  </w14:solidFill>
                </w14:textFill>
              </w:rPr>
            </w:pPr>
          </w:p>
        </w:tc>
        <w:tc>
          <w:tcPr>
            <w:tcW w:w="724" w:type="dxa"/>
            <w:vMerge w:val="continue"/>
          </w:tcPr>
          <w:p w14:paraId="01CE73FF">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01AEE473">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DCS5250</w:t>
            </w:r>
          </w:p>
        </w:tc>
        <w:tc>
          <w:tcPr>
            <w:tcW w:w="2746" w:type="dxa"/>
            <w:vAlign w:val="center"/>
          </w:tcPr>
          <w:p w14:paraId="1F4DBC9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虚拟现实与可视化</w:t>
            </w:r>
          </w:p>
          <w:p w14:paraId="39C2E69B">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Virtual Reality and Visualization</w:t>
            </w:r>
          </w:p>
        </w:tc>
        <w:tc>
          <w:tcPr>
            <w:tcW w:w="555" w:type="dxa"/>
            <w:vAlign w:val="center"/>
          </w:tcPr>
          <w:p w14:paraId="2D40E8F4">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1DACA104">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69734721">
            <w:pPr>
              <w:jc w:val="left"/>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纪庆革、陶钧</w:t>
            </w:r>
          </w:p>
        </w:tc>
        <w:tc>
          <w:tcPr>
            <w:tcW w:w="1074" w:type="dxa"/>
            <w:gridSpan w:val="2"/>
            <w:vAlign w:val="center"/>
          </w:tcPr>
          <w:p w14:paraId="70F93683">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3368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24" w:type="dxa"/>
            <w:vMerge w:val="continue"/>
          </w:tcPr>
          <w:p w14:paraId="5B373865">
            <w:pPr>
              <w:rPr>
                <w:rFonts w:eastAsia="仿宋_GB2312"/>
                <w:color w:val="000000" w:themeColor="text1"/>
                <w:kern w:val="0"/>
                <w:sz w:val="18"/>
                <w:szCs w:val="18"/>
                <w:highlight w:val="none"/>
                <w14:textFill>
                  <w14:solidFill>
                    <w14:schemeClr w14:val="tx1"/>
                  </w14:solidFill>
                </w14:textFill>
              </w:rPr>
            </w:pPr>
          </w:p>
        </w:tc>
        <w:tc>
          <w:tcPr>
            <w:tcW w:w="724" w:type="dxa"/>
            <w:vMerge w:val="restart"/>
            <w:vAlign w:val="center"/>
          </w:tcPr>
          <w:p w14:paraId="06C698A9">
            <w:pPr>
              <w:rPr>
                <w:rFonts w:eastAsia="仿宋_GB2312"/>
                <w:color w:val="000000" w:themeColor="text1"/>
                <w:kern w:val="0"/>
                <w:sz w:val="18"/>
                <w:szCs w:val="18"/>
                <w:highlight w:val="none"/>
                <w14:textFill>
                  <w14:solidFill>
                    <w14:schemeClr w14:val="tx1"/>
                  </w14:solidFill>
                </w14:textFill>
              </w:rPr>
            </w:pPr>
            <w:r>
              <w:rPr>
                <w:rFonts w:hint="eastAsia" w:ascii="仿宋_GB2312" w:hAnsi="华文仿宋" w:eastAsia="仿宋_GB2312"/>
                <w:color w:val="000000" w:themeColor="text1"/>
                <w:kern w:val="0"/>
                <w:sz w:val="16"/>
                <w:szCs w:val="16"/>
                <w:highlight w:val="none"/>
                <w14:textFill>
                  <w14:solidFill>
                    <w14:schemeClr w14:val="tx1"/>
                  </w14:solidFill>
                </w14:textFill>
              </w:rPr>
              <w:t>模块6：交叉科学</w:t>
            </w:r>
          </w:p>
        </w:tc>
        <w:tc>
          <w:tcPr>
            <w:tcW w:w="1249" w:type="dxa"/>
            <w:vAlign w:val="center"/>
          </w:tcPr>
          <w:p w14:paraId="7E1E8FFA">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DCS5253</w:t>
            </w:r>
          </w:p>
        </w:tc>
        <w:tc>
          <w:tcPr>
            <w:tcW w:w="2746" w:type="dxa"/>
            <w:vAlign w:val="center"/>
          </w:tcPr>
          <w:p w14:paraId="3F1CBB41">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生物信息计算前沿</w:t>
            </w:r>
          </w:p>
          <w:p w14:paraId="17761FE3">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Frontiers of Bioinformatics Computing</w:t>
            </w:r>
          </w:p>
        </w:tc>
        <w:tc>
          <w:tcPr>
            <w:tcW w:w="555" w:type="dxa"/>
            <w:vAlign w:val="center"/>
          </w:tcPr>
          <w:p w14:paraId="3660707B">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36</w:t>
            </w:r>
          </w:p>
        </w:tc>
        <w:tc>
          <w:tcPr>
            <w:tcW w:w="495" w:type="dxa"/>
            <w:vAlign w:val="center"/>
          </w:tcPr>
          <w:p w14:paraId="096A6A2D">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ascii="仿宋_GB2312" w:hAnsi="宋体" w:eastAsia="仿宋_GB2312"/>
                <w:color w:val="000000" w:themeColor="text1"/>
                <w:sz w:val="16"/>
                <w:szCs w:val="16"/>
                <w:highlight w:val="none"/>
                <w14:textFill>
                  <w14:solidFill>
                    <w14:schemeClr w14:val="tx1"/>
                  </w14:solidFill>
                </w14:textFill>
              </w:rPr>
              <w:t>2</w:t>
            </w:r>
          </w:p>
        </w:tc>
        <w:tc>
          <w:tcPr>
            <w:tcW w:w="2025" w:type="dxa"/>
            <w:vAlign w:val="center"/>
          </w:tcPr>
          <w:p w14:paraId="48E0DE16">
            <w:pPr>
              <w:jc w:val="left"/>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1074" w:type="dxa"/>
            <w:gridSpan w:val="2"/>
            <w:vAlign w:val="center"/>
          </w:tcPr>
          <w:p w14:paraId="4945FF6E">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秋</w:t>
            </w:r>
          </w:p>
        </w:tc>
      </w:tr>
      <w:tr w14:paraId="4C71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24" w:type="dxa"/>
            <w:vMerge w:val="continue"/>
          </w:tcPr>
          <w:p w14:paraId="3E616AE7">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0212D208">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599EA7BE">
            <w:pPr>
              <w:jc w:val="center"/>
              <w:rPr>
                <w:rFonts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DCS5260</w:t>
            </w:r>
          </w:p>
        </w:tc>
        <w:tc>
          <w:tcPr>
            <w:tcW w:w="2746" w:type="dxa"/>
            <w:vAlign w:val="center"/>
          </w:tcPr>
          <w:p w14:paraId="2920545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HPC+AI科学计算前沿</w:t>
            </w:r>
          </w:p>
          <w:p w14:paraId="51A0D38E">
            <w:pPr>
              <w:jc w:val="left"/>
              <w:rPr>
                <w:rFonts w:hint="eastAsia" w:eastAsia="仿宋_GB2312"/>
                <w:color w:val="000000" w:themeColor="text1"/>
                <w:kern w:val="0"/>
                <w:sz w:val="18"/>
                <w:szCs w:val="18"/>
                <w:highlight w:val="none"/>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HPC+AI for Science</w:t>
            </w:r>
          </w:p>
        </w:tc>
        <w:tc>
          <w:tcPr>
            <w:tcW w:w="555" w:type="dxa"/>
            <w:vAlign w:val="center"/>
          </w:tcPr>
          <w:p w14:paraId="4C495F93">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3</w:t>
            </w:r>
            <w:r>
              <w:rPr>
                <w:rFonts w:ascii="仿宋" w:hAnsi="仿宋" w:eastAsia="仿宋" w:cs="F4"/>
                <w:color w:val="000000" w:themeColor="text1"/>
                <w:kern w:val="0"/>
                <w:sz w:val="16"/>
                <w:szCs w:val="16"/>
                <w:highlight w:val="none"/>
                <w14:textFill>
                  <w14:solidFill>
                    <w14:schemeClr w14:val="tx1"/>
                  </w14:solidFill>
                </w14:textFill>
              </w:rPr>
              <w:t>6</w:t>
            </w:r>
          </w:p>
        </w:tc>
        <w:tc>
          <w:tcPr>
            <w:tcW w:w="495" w:type="dxa"/>
            <w:vAlign w:val="center"/>
          </w:tcPr>
          <w:p w14:paraId="72E7C81E">
            <w:pPr>
              <w:snapToGrid w:val="0"/>
              <w:jc w:val="center"/>
              <w:rPr>
                <w:rFonts w:ascii="仿宋_GB2312" w:hAnsi="宋体" w:eastAsia="仿宋_GB2312"/>
                <w:color w:val="000000" w:themeColor="text1"/>
                <w:sz w:val="16"/>
                <w:szCs w:val="16"/>
                <w:highlight w:val="none"/>
                <w14:textFill>
                  <w14:solidFill>
                    <w14:schemeClr w14:val="tx1"/>
                  </w14:solidFill>
                </w14:textFill>
              </w:rPr>
            </w:pPr>
            <w:r>
              <w:rPr>
                <w:rFonts w:hint="eastAsia" w:ascii="仿宋" w:hAnsi="仿宋" w:eastAsia="仿宋" w:cs="F4"/>
                <w:color w:val="000000" w:themeColor="text1"/>
                <w:kern w:val="0"/>
                <w:sz w:val="16"/>
                <w:szCs w:val="16"/>
                <w:highlight w:val="none"/>
                <w14:textFill>
                  <w14:solidFill>
                    <w14:schemeClr w14:val="tx1"/>
                  </w14:solidFill>
                </w14:textFill>
              </w:rPr>
              <w:t>2</w:t>
            </w:r>
          </w:p>
        </w:tc>
        <w:tc>
          <w:tcPr>
            <w:tcW w:w="2025" w:type="dxa"/>
            <w:vAlign w:val="center"/>
          </w:tcPr>
          <w:p w14:paraId="3EA17D3B">
            <w:pPr>
              <w:jc w:val="left"/>
              <w:rPr>
                <w:rFonts w:hint="eastAsia"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14:textFill>
                  <w14:solidFill>
                    <w14:schemeClr w14:val="tx1"/>
                  </w14:solidFill>
                </w14:textFill>
              </w:rPr>
              <w:t>江颖等</w:t>
            </w:r>
            <w:r>
              <w:rPr>
                <w:rFonts w:hint="eastAsia" w:eastAsia="仿宋_GB2312"/>
                <w:color w:val="000000" w:themeColor="text1"/>
                <w:kern w:val="0"/>
                <w:sz w:val="18"/>
                <w:szCs w:val="18"/>
                <w:highlight w:val="none"/>
                <w:lang w:val="en-US" w:eastAsia="zh-CN"/>
                <w14:textFill>
                  <w14:solidFill>
                    <w14:schemeClr w14:val="tx1"/>
                  </w14:solidFill>
                </w14:textFill>
              </w:rPr>
              <w:t>导师组</w:t>
            </w:r>
          </w:p>
        </w:tc>
        <w:tc>
          <w:tcPr>
            <w:tcW w:w="1074" w:type="dxa"/>
            <w:gridSpan w:val="2"/>
            <w:vAlign w:val="center"/>
          </w:tcPr>
          <w:p w14:paraId="42BEC19C">
            <w:pPr>
              <w:jc w:val="center"/>
              <w:rPr>
                <w:rFonts w:hint="default" w:eastAsia="仿宋_GB2312"/>
                <w:color w:val="000000" w:themeColor="text1"/>
                <w:kern w:val="0"/>
                <w:sz w:val="18"/>
                <w:szCs w:val="18"/>
                <w:highlight w:val="none"/>
                <w:lang w:val="en-US" w:eastAsia="zh-CN"/>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春</w:t>
            </w:r>
          </w:p>
        </w:tc>
      </w:tr>
      <w:tr w14:paraId="5DA19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24" w:type="dxa"/>
            <w:vMerge w:val="continue"/>
          </w:tcPr>
          <w:p w14:paraId="2C699F2E">
            <w:pPr>
              <w:rPr>
                <w:rFonts w:eastAsia="仿宋_GB2312"/>
                <w:color w:val="000000" w:themeColor="text1"/>
                <w:kern w:val="0"/>
                <w:sz w:val="18"/>
                <w:szCs w:val="18"/>
                <w:highlight w:val="none"/>
                <w14:textFill>
                  <w14:solidFill>
                    <w14:schemeClr w14:val="tx1"/>
                  </w14:solidFill>
                </w14:textFill>
              </w:rPr>
            </w:pPr>
          </w:p>
        </w:tc>
        <w:tc>
          <w:tcPr>
            <w:tcW w:w="724" w:type="dxa"/>
            <w:vMerge w:val="continue"/>
            <w:vAlign w:val="center"/>
          </w:tcPr>
          <w:p w14:paraId="2AFCBB15">
            <w:pPr>
              <w:rPr>
                <w:rFonts w:eastAsia="仿宋_GB2312"/>
                <w:color w:val="000000" w:themeColor="text1"/>
                <w:kern w:val="0"/>
                <w:sz w:val="18"/>
                <w:szCs w:val="18"/>
                <w:highlight w:val="none"/>
                <w14:textFill>
                  <w14:solidFill>
                    <w14:schemeClr w14:val="tx1"/>
                  </w14:solidFill>
                </w14:textFill>
              </w:rPr>
            </w:pPr>
          </w:p>
        </w:tc>
        <w:tc>
          <w:tcPr>
            <w:tcW w:w="1249" w:type="dxa"/>
            <w:vAlign w:val="center"/>
          </w:tcPr>
          <w:p w14:paraId="6B21B3F1">
            <w:pPr>
              <w:jc w:val="center"/>
              <w:rPr>
                <w:rFonts w:hint="eastAsia" w:eastAsia="仿宋_GB2312"/>
                <w:color w:val="000000" w:themeColor="text1"/>
                <w:kern w:val="0"/>
                <w:sz w:val="18"/>
                <w:szCs w:val="18"/>
                <w:highlight w:val="none"/>
                <w:lang w:val="en-US" w:eastAsia="zh-CN"/>
                <w14:textFill>
                  <w14:solidFill>
                    <w14:schemeClr w14:val="tx1"/>
                  </w14:solidFill>
                </w14:textFill>
              </w:rPr>
            </w:pPr>
            <w:r>
              <w:rPr>
                <w:rFonts w:eastAsia="仿宋_GB2312"/>
                <w:color w:val="000000" w:themeColor="text1"/>
                <w:kern w:val="0"/>
                <w:sz w:val="18"/>
                <w:szCs w:val="18"/>
                <w:highlight w:val="none"/>
                <w14:textFill>
                  <w14:solidFill>
                    <w14:schemeClr w14:val="tx1"/>
                  </w14:solidFill>
                </w14:textFill>
              </w:rPr>
              <w:t>DCS5702</w:t>
            </w:r>
          </w:p>
        </w:tc>
        <w:tc>
          <w:tcPr>
            <w:tcW w:w="2746" w:type="dxa"/>
            <w:vAlign w:val="center"/>
          </w:tcPr>
          <w:p w14:paraId="20752F85">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人工智能大数据与超算融合系统</w:t>
            </w:r>
            <w:r>
              <w:rPr>
                <w:rFonts w:hint="eastAsia" w:eastAsia="仿宋_GB2312"/>
                <w:color w:val="000000" w:themeColor="text1"/>
                <w:kern w:val="0"/>
                <w:sz w:val="18"/>
                <w:szCs w:val="18"/>
                <w:highlight w:val="none"/>
                <w:lang w:val="en-US" w:eastAsia="zh-CN"/>
                <w14:textFill>
                  <w14:solidFill>
                    <w14:schemeClr w14:val="tx1"/>
                  </w14:solidFill>
                </w14:textFill>
              </w:rPr>
              <w:br w:type="textWrapping"/>
            </w:r>
            <w:r>
              <w:rPr>
                <w:rFonts w:hint="eastAsia" w:eastAsia="仿宋_GB2312"/>
                <w:color w:val="000000" w:themeColor="text1"/>
                <w:kern w:val="0"/>
                <w:sz w:val="18"/>
                <w:szCs w:val="18"/>
                <w:highlight w:val="none"/>
                <w:lang w:val="en-US" w:eastAsia="zh-CN"/>
                <w14:textFill>
                  <w14:solidFill>
                    <w14:schemeClr w14:val="tx1"/>
                  </w14:solidFill>
                </w14:textFill>
              </w:rPr>
              <w:t>Artificial Intelligence Big Data and Supercomputing Integrated System</w:t>
            </w:r>
          </w:p>
        </w:tc>
        <w:tc>
          <w:tcPr>
            <w:tcW w:w="555" w:type="dxa"/>
            <w:vAlign w:val="center"/>
          </w:tcPr>
          <w:p w14:paraId="1CBE80A6">
            <w:pPr>
              <w:snapToGrid w:val="0"/>
              <w:jc w:val="center"/>
              <w:rPr>
                <w:rFonts w:hint="eastAsia" w:ascii="仿宋" w:hAnsi="仿宋" w:eastAsia="仿宋" w:cs="F4"/>
                <w:color w:val="000000" w:themeColor="text1"/>
                <w:kern w:val="0"/>
                <w:sz w:val="16"/>
                <w:szCs w:val="16"/>
                <w:highlight w:val="none"/>
                <w:lang w:val="en-US" w:eastAsia="zh-CN" w:bidi="ar-SA"/>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36</w:t>
            </w:r>
          </w:p>
        </w:tc>
        <w:tc>
          <w:tcPr>
            <w:tcW w:w="495" w:type="dxa"/>
            <w:vAlign w:val="center"/>
          </w:tcPr>
          <w:p w14:paraId="6BD474B1">
            <w:pPr>
              <w:snapToGrid w:val="0"/>
              <w:jc w:val="center"/>
              <w:rPr>
                <w:rFonts w:hint="eastAsia" w:ascii="仿宋" w:hAnsi="仿宋" w:eastAsia="仿宋" w:cs="F4"/>
                <w:color w:val="000000" w:themeColor="text1"/>
                <w:kern w:val="0"/>
                <w:sz w:val="16"/>
                <w:szCs w:val="16"/>
                <w:highlight w:val="none"/>
                <w:lang w:val="en-US" w:eastAsia="zh-CN" w:bidi="ar-SA"/>
                <w14:textFill>
                  <w14:solidFill>
                    <w14:schemeClr w14:val="tx1"/>
                  </w14:solidFill>
                </w14:textFill>
              </w:rPr>
            </w:pPr>
            <w:r>
              <w:rPr>
                <w:rFonts w:hint="eastAsia" w:ascii="仿宋" w:hAnsi="仿宋" w:eastAsia="仿宋" w:cs="F4"/>
                <w:color w:val="000000" w:themeColor="text1"/>
                <w:kern w:val="0"/>
                <w:sz w:val="16"/>
                <w:szCs w:val="16"/>
                <w:highlight w:val="none"/>
                <w:lang w:val="en-US" w:eastAsia="zh-CN"/>
                <w14:textFill>
                  <w14:solidFill>
                    <w14:schemeClr w14:val="tx1"/>
                  </w14:solidFill>
                </w14:textFill>
              </w:rPr>
              <w:t>2</w:t>
            </w:r>
          </w:p>
        </w:tc>
        <w:tc>
          <w:tcPr>
            <w:tcW w:w="2025" w:type="dxa"/>
            <w:vAlign w:val="center"/>
          </w:tcPr>
          <w:p w14:paraId="676CCD0F">
            <w:pPr>
              <w:jc w:val="left"/>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olor w:val="000000" w:themeColor="text1"/>
                <w:kern w:val="0"/>
                <w:sz w:val="18"/>
                <w:szCs w:val="18"/>
                <w:highlight w:val="none"/>
                <w:lang w:val="en-US" w:eastAsia="zh-CN"/>
                <w14:textFill>
                  <w14:solidFill>
                    <w14:schemeClr w14:val="tx1"/>
                  </w14:solidFill>
                </w14:textFill>
              </w:rPr>
              <w:t>吴维刚、江颖、陈志广</w:t>
            </w:r>
          </w:p>
        </w:tc>
        <w:tc>
          <w:tcPr>
            <w:tcW w:w="1074" w:type="dxa"/>
            <w:gridSpan w:val="2"/>
            <w:vAlign w:val="center"/>
          </w:tcPr>
          <w:p w14:paraId="52CD401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cs="Times New Roman"/>
                <w:color w:val="000000" w:themeColor="text1"/>
                <w:kern w:val="0"/>
                <w:sz w:val="18"/>
                <w:szCs w:val="18"/>
                <w:highlight w:val="none"/>
                <w:lang w:val="en-US" w:eastAsia="zh-CN" w:bidi="ar-SA"/>
                <w14:textFill>
                  <w14:solidFill>
                    <w14:schemeClr w14:val="tx1"/>
                  </w14:solidFill>
                </w14:textFill>
              </w:rPr>
              <w:t>春</w:t>
            </w:r>
          </w:p>
        </w:tc>
      </w:tr>
    </w:tbl>
    <w:p w14:paraId="06DD3A6F">
      <w:pPr>
        <w:spacing w:line="500" w:lineRule="exact"/>
        <w:rPr>
          <w:rFonts w:hint="eastAsia" w:eastAsia="仿宋_GB2312"/>
          <w:color w:val="000000" w:themeColor="text1"/>
          <w:sz w:val="28"/>
          <w:szCs w:val="28"/>
          <w:highlight w:val="none"/>
          <w:lang w:val="en-US" w:eastAsia="zh-CN"/>
          <w14:textFill>
            <w14:solidFill>
              <w14:schemeClr w14:val="tx1"/>
            </w14:solidFill>
          </w14:textFill>
        </w:rPr>
      </w:pPr>
    </w:p>
    <w:p w14:paraId="48B17878">
      <w:pPr>
        <w:spacing w:line="500" w:lineRule="exact"/>
        <w:rPr>
          <w:rFonts w:ascii="仿宋_GB2312" w:hAnsi="宋体" w:eastAsia="仿宋_GB2312"/>
          <w:b/>
          <w:sz w:val="32"/>
          <w:szCs w:val="32"/>
          <w:highlight w:val="none"/>
        </w:rPr>
      </w:pPr>
      <w:r>
        <w:rPr>
          <w:rFonts w:hint="eastAsia" w:ascii="仿宋_GB2312" w:hAnsi="宋体" w:eastAsia="仿宋_GB2312"/>
          <w:b/>
          <w:sz w:val="32"/>
          <w:szCs w:val="32"/>
          <w:highlight w:val="none"/>
        </w:rPr>
        <w:t>七、培养环节与要求</w:t>
      </w:r>
    </w:p>
    <w:p w14:paraId="49EDA3EB">
      <w:pPr>
        <w:adjustRightInd w:val="0"/>
        <w:snapToGrid w:val="0"/>
        <w:spacing w:line="50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严格按照中山大学《学位与研究生教育工作手册》的有关规定执行，除完成课程学习任务并修满规定的学分外，</w:t>
      </w:r>
      <w:r>
        <w:rPr>
          <w:rFonts w:hint="eastAsia" w:ascii="仿宋" w:hAnsi="仿宋" w:eastAsia="仿宋" w:cs="仿宋"/>
          <w:color w:val="000000"/>
          <w:kern w:val="0"/>
          <w:sz w:val="28"/>
          <w:szCs w:val="28"/>
          <w:highlight w:val="none"/>
        </w:rPr>
        <w:t>要求研究生</w:t>
      </w:r>
      <w:r>
        <w:rPr>
          <w:rFonts w:hint="eastAsia" w:eastAsia="仿宋_GB2312"/>
          <w:sz w:val="28"/>
          <w:szCs w:val="28"/>
          <w:highlight w:val="none"/>
        </w:rPr>
        <w:t>完成各个培养环节规定的内容。主要环节及要求包括</w:t>
      </w:r>
      <w:r>
        <w:rPr>
          <w:rFonts w:hint="eastAsia" w:ascii="仿宋_GB2312" w:hAnsi="宋体" w:eastAsia="仿宋_GB2312"/>
          <w:sz w:val="28"/>
          <w:szCs w:val="28"/>
          <w:highlight w:val="none"/>
        </w:rPr>
        <w:t>：</w:t>
      </w:r>
    </w:p>
    <w:p w14:paraId="23562A36">
      <w:pPr>
        <w:adjustRightInd w:val="0"/>
        <w:snapToGrid w:val="0"/>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1、</w:t>
      </w:r>
      <w:r>
        <w:rPr>
          <w:rFonts w:hint="eastAsia" w:eastAsia="仿宋_GB2312"/>
          <w:sz w:val="28"/>
          <w:szCs w:val="28"/>
          <w:highlight w:val="none"/>
        </w:rPr>
        <w:t>制定个人培养计划：研究生个人培养计划是依据本学科培养方案，综合学科发展动态和个人学术兴趣、知识结构、研究实践平台等情况（专项计划的学生还需结合专项要求），在导师的指导下对研究生培养过程作出的计划和安排。科学合理制定个人培养计划有助于研究生明确培养目标，有计划地完成研究生阶段的学习任务，一般应在入学3个月内由导师和研究生共同制定。</w:t>
      </w:r>
    </w:p>
    <w:p w14:paraId="347BCF7F">
      <w:pPr>
        <w:adjustRightInd w:val="0"/>
        <w:snapToGrid w:val="0"/>
        <w:spacing w:line="500" w:lineRule="exact"/>
        <w:ind w:firstLine="560" w:firstLineChars="200"/>
        <w:rPr>
          <w:rFonts w:hint="default" w:ascii="仿宋_GB2312" w:hAnsi="仿宋" w:eastAsia="仿宋_GB2312"/>
          <w:sz w:val="28"/>
          <w:szCs w:val="28"/>
          <w:highlight w:val="none"/>
          <w:lang w:val="en-US" w:eastAsia="zh-CN"/>
        </w:rPr>
      </w:pPr>
      <w:r>
        <w:rPr>
          <w:rFonts w:hint="eastAsia" w:ascii="仿宋_GB2312" w:hAnsi="仿宋" w:eastAsia="仿宋_GB2312"/>
          <w:sz w:val="28"/>
          <w:szCs w:val="28"/>
          <w:highlight w:val="none"/>
          <w:lang w:val="en-US" w:eastAsia="zh-CN"/>
        </w:rPr>
        <w:t>2</w:t>
      </w:r>
      <w:r>
        <w:rPr>
          <w:rFonts w:hint="eastAsia" w:ascii="仿宋_GB2312" w:hAnsi="仿宋" w:eastAsia="仿宋_GB2312"/>
          <w:sz w:val="28"/>
          <w:szCs w:val="28"/>
          <w:highlight w:val="none"/>
        </w:rPr>
        <w:t>、</w:t>
      </w:r>
      <w:r>
        <w:rPr>
          <w:rFonts w:hint="eastAsia" w:ascii="仿宋_GB2312" w:hAnsi="仿宋" w:eastAsia="仿宋_GB2312"/>
          <w:sz w:val="28"/>
          <w:szCs w:val="28"/>
          <w:highlight w:val="none"/>
          <w:lang w:val="en-US" w:eastAsia="zh-CN"/>
        </w:rPr>
        <w:t>应在导师的指导下参加讨论班、学术活动与学术报告、科研训练等。</w:t>
      </w:r>
    </w:p>
    <w:p w14:paraId="0289C024">
      <w:pPr>
        <w:adjustRightInd/>
        <w:snapToGrid w:val="0"/>
        <w:spacing w:line="500" w:lineRule="exact"/>
        <w:ind w:firstLine="560" w:firstLineChars="200"/>
        <w:jc w:val="both"/>
        <w:rPr>
          <w:rFonts w:ascii="仿宋_GB2312" w:hAnsi="宋体" w:eastAsia="仿宋_GB2312"/>
          <w:sz w:val="28"/>
          <w:szCs w:val="28"/>
          <w:highlight w:val="none"/>
        </w:rPr>
      </w:pPr>
      <w:r>
        <w:rPr>
          <w:rFonts w:ascii="仿宋_GB2312" w:hAnsi="宋体" w:eastAsia="仿宋_GB2312"/>
          <w:sz w:val="28"/>
          <w:szCs w:val="28"/>
          <w:highlight w:val="none"/>
        </w:rPr>
        <w:t>3</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开题报告：</w:t>
      </w:r>
      <w:r>
        <w:rPr>
          <w:rFonts w:hint="eastAsia" w:ascii="仿宋_GB2312" w:hAnsi="宋体" w:eastAsia="仿宋_GB2312"/>
          <w:sz w:val="28"/>
          <w:szCs w:val="28"/>
          <w:highlight w:val="none"/>
          <w:lang w:val="en-US" w:eastAsia="zh-CN"/>
        </w:rPr>
        <w:t>研究生开题报告工作一般安排在第二学年秋季学期进行。</w:t>
      </w:r>
      <w:r>
        <w:rPr>
          <w:rFonts w:hint="eastAsia" w:eastAsia="仿宋_GB2312"/>
          <w:sz w:val="28"/>
          <w:szCs w:val="28"/>
          <w:highlight w:val="none"/>
        </w:rPr>
        <w:t>具体按照学校及学院开题及中期考核的相关要求执行。</w:t>
      </w:r>
    </w:p>
    <w:p w14:paraId="0893B6F6">
      <w:pPr>
        <w:adjustRightInd/>
        <w:snapToGrid w:val="0"/>
        <w:spacing w:line="500" w:lineRule="exact"/>
        <w:ind w:firstLine="560" w:firstLineChars="200"/>
        <w:jc w:val="both"/>
        <w:rPr>
          <w:rFonts w:ascii="Times New Roman" w:hAnsi="Times New Roman" w:eastAsia="仿宋_GB2312"/>
          <w:sz w:val="28"/>
          <w:szCs w:val="28"/>
          <w:highlight w:val="none"/>
        </w:rPr>
      </w:pPr>
      <w:r>
        <w:rPr>
          <w:rFonts w:ascii="仿宋_GB2312" w:hAnsi="宋体" w:eastAsia="仿宋_GB2312"/>
          <w:sz w:val="28"/>
          <w:szCs w:val="28"/>
          <w:highlight w:val="none"/>
        </w:rPr>
        <w:t>4</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中期</w:t>
      </w:r>
      <w:r>
        <w:rPr>
          <w:rFonts w:hint="eastAsia" w:ascii="仿宋_GB2312" w:hAnsi="宋体" w:eastAsia="仿宋_GB2312"/>
          <w:sz w:val="28"/>
          <w:szCs w:val="28"/>
          <w:highlight w:val="none"/>
          <w:lang w:val="en-US" w:eastAsia="zh-CN"/>
        </w:rPr>
        <w:t>考核</w:t>
      </w:r>
      <w:r>
        <w:rPr>
          <w:rFonts w:hint="eastAsia" w:ascii="仿宋_GB2312" w:hAnsi="宋体" w:eastAsia="仿宋_GB2312"/>
          <w:sz w:val="28"/>
          <w:szCs w:val="28"/>
          <w:highlight w:val="none"/>
        </w:rPr>
        <w:t>：</w:t>
      </w:r>
      <w:r>
        <w:rPr>
          <w:rFonts w:hint="eastAsia" w:ascii="Times New Roman" w:hAnsi="Times New Roman" w:eastAsia="仿宋_GB2312" w:cs="Times New Roman"/>
          <w:kern w:val="2"/>
          <w:sz w:val="28"/>
          <w:szCs w:val="28"/>
          <w:highlight w:val="none"/>
        </w:rPr>
        <w:t>研究生中期考核工作</w:t>
      </w:r>
      <w:r>
        <w:rPr>
          <w:rFonts w:hint="eastAsia" w:ascii="Times New Roman" w:hAnsi="Times New Roman" w:eastAsia="仿宋_GB2312" w:cs="Times New Roman"/>
          <w:kern w:val="2"/>
          <w:sz w:val="28"/>
          <w:szCs w:val="28"/>
          <w:highlight w:val="none"/>
          <w:lang w:val="en-US" w:eastAsia="zh-CN" w:bidi="ar-SA"/>
        </w:rPr>
        <w:t>一般</w:t>
      </w:r>
      <w:r>
        <w:rPr>
          <w:rFonts w:hint="eastAsia" w:ascii="Times New Roman" w:hAnsi="Times New Roman" w:eastAsia="仿宋_GB2312" w:cs="Times New Roman"/>
          <w:kern w:val="2"/>
          <w:sz w:val="28"/>
          <w:szCs w:val="28"/>
          <w:highlight w:val="none"/>
        </w:rPr>
        <w:t>安排在第二学年春季学期进行</w:t>
      </w:r>
      <w:r>
        <w:rPr>
          <w:rFonts w:hint="eastAsia" w:ascii="仿宋_GB2312" w:hAnsi="宋体" w:eastAsia="仿宋_GB2312"/>
          <w:sz w:val="24"/>
          <w:szCs w:val="24"/>
          <w:highlight w:val="none"/>
          <w:lang w:val="en-US" w:eastAsia="zh-CN"/>
        </w:rPr>
        <w:t>。</w:t>
      </w:r>
      <w:bookmarkStart w:id="0" w:name="_Hlk164006240"/>
      <w:r>
        <w:rPr>
          <w:rFonts w:hint="eastAsia" w:eastAsia="仿宋_GB2312"/>
          <w:sz w:val="28"/>
          <w:szCs w:val="28"/>
          <w:highlight w:val="none"/>
        </w:rPr>
        <w:t>具体按照学校及学院开题及中期考核的相关要求执行。</w:t>
      </w:r>
      <w:bookmarkEnd w:id="0"/>
    </w:p>
    <w:p w14:paraId="0BF7D1CF">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5</w:t>
      </w:r>
      <w:r>
        <w:rPr>
          <w:rFonts w:hint="eastAsia" w:ascii="Calibri" w:hAnsi="Calibri" w:eastAsia="仿宋_GB2312"/>
          <w:sz w:val="28"/>
          <w:szCs w:val="28"/>
          <w:highlight w:val="none"/>
        </w:rPr>
        <w:t>、</w:t>
      </w:r>
      <w:r>
        <w:rPr>
          <w:rFonts w:hint="eastAsia" w:ascii="仿宋_GB2312" w:hAnsi="宋体" w:eastAsia="仿宋_GB2312"/>
          <w:sz w:val="28"/>
          <w:szCs w:val="28"/>
          <w:highlight w:val="none"/>
        </w:rPr>
        <w:t>实践环节：要求全日制博士生按照学校的相关规定承担学院组织的助教工作及实验室的实践工作。</w:t>
      </w:r>
    </w:p>
    <w:p w14:paraId="0A67B72E">
      <w:pPr>
        <w:widowControl/>
        <w:jc w:val="left"/>
        <w:rPr>
          <w:highlight w:val="none"/>
        </w:rPr>
      </w:pPr>
    </w:p>
    <w:p w14:paraId="5BED7F1A">
      <w:pPr>
        <w:spacing w:line="500" w:lineRule="exact"/>
        <w:rPr>
          <w:rFonts w:ascii="仿宋_GB2312" w:hAnsi="宋体" w:eastAsia="仿宋_GB2312"/>
          <w:b/>
          <w:sz w:val="28"/>
          <w:szCs w:val="28"/>
          <w:highlight w:val="none"/>
        </w:rPr>
      </w:pPr>
      <w:r>
        <w:rPr>
          <w:rFonts w:hint="eastAsia" w:ascii="仿宋_GB2312" w:hAnsi="宋体" w:eastAsia="仿宋_GB2312"/>
          <w:b/>
          <w:sz w:val="28"/>
          <w:szCs w:val="28"/>
          <w:highlight w:val="none"/>
        </w:rPr>
        <w:t>八、学位论文</w:t>
      </w:r>
    </w:p>
    <w:p w14:paraId="13CD2A44">
      <w:pPr>
        <w:numPr>
          <w:ilvl w:val="0"/>
          <w:numId w:val="0"/>
        </w:numPr>
        <w:adjustRightInd w:val="0"/>
        <w:snapToGrid w:val="0"/>
        <w:spacing w:line="500" w:lineRule="exact"/>
        <w:ind w:leftChars="0"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学生在导师指导下确定论文选题，选题应</w:t>
      </w:r>
      <w:r>
        <w:rPr>
          <w:rFonts w:hint="eastAsia" w:ascii="仿宋_GB2312" w:hAnsi="宋体" w:eastAsia="仿宋_GB2312"/>
          <w:sz w:val="28"/>
          <w:szCs w:val="28"/>
          <w:highlight w:val="none"/>
          <w:lang w:val="en-US" w:eastAsia="zh-CN"/>
        </w:rPr>
        <w:t>体现该学科领域的前沿性和先进性。</w:t>
      </w:r>
    </w:p>
    <w:p w14:paraId="20E71345">
      <w:pPr>
        <w:numPr>
          <w:ilvl w:val="0"/>
          <w:numId w:val="0"/>
        </w:numPr>
        <w:adjustRightInd w:val="0"/>
        <w:snapToGrid w:val="0"/>
        <w:spacing w:line="500" w:lineRule="exact"/>
        <w:ind w:leftChars="0" w:firstLine="560" w:firstLineChars="200"/>
        <w:jc w:val="left"/>
        <w:rPr>
          <w:rFonts w:hint="default" w:ascii="仿宋_GB2312" w:hAnsi="宋体" w:eastAsia="仿宋_GB2312"/>
          <w:sz w:val="28"/>
          <w:szCs w:val="28"/>
          <w:highlight w:val="none"/>
          <w:lang w:val="en-US"/>
        </w:rPr>
      </w:pPr>
      <w:r>
        <w:rPr>
          <w:rFonts w:hint="eastAsia" w:ascii="仿宋_GB2312" w:hAnsi="宋体" w:eastAsia="仿宋_GB2312"/>
          <w:sz w:val="28"/>
          <w:szCs w:val="28"/>
          <w:highlight w:val="none"/>
          <w:lang w:val="en-US" w:eastAsia="zh-CN"/>
        </w:rPr>
        <w:t>2、博士</w:t>
      </w:r>
      <w:r>
        <w:rPr>
          <w:rFonts w:hint="eastAsia" w:ascii="仿宋_GB2312" w:hAnsi="宋体" w:eastAsia="仿宋_GB2312"/>
          <w:sz w:val="28"/>
          <w:szCs w:val="28"/>
          <w:highlight w:val="none"/>
        </w:rPr>
        <w:t>学位论文</w:t>
      </w:r>
      <w:r>
        <w:rPr>
          <w:rFonts w:hint="eastAsia" w:ascii="仿宋_GB2312" w:hAnsi="宋体" w:eastAsia="仿宋_GB2312"/>
          <w:sz w:val="28"/>
          <w:szCs w:val="28"/>
          <w:highlight w:val="none"/>
          <w:lang w:val="en-US" w:eastAsia="zh-CN"/>
        </w:rPr>
        <w:t>应在导师指导下由博士生本人独立完成。要求在科学或专门技术上做出创造性的成果，具有重要的理论意义和应用价值。博士生应在学位论文中对自己的创造性成果作出详尽阐述，阐明本领域前人已有的成果和自己的贡献，要求文字简练、数据可靠、层次分明、说理透彻、格式规范。</w:t>
      </w:r>
    </w:p>
    <w:p w14:paraId="7D73D75E">
      <w:pPr>
        <w:spacing w:line="500" w:lineRule="exact"/>
        <w:rPr>
          <w:rFonts w:hint="eastAsia" w:ascii="仿宋_GB2312" w:hAnsi="宋体" w:eastAsia="仿宋_GB2312"/>
          <w:b/>
          <w:sz w:val="28"/>
          <w:szCs w:val="28"/>
          <w:highlight w:val="none"/>
        </w:rPr>
      </w:pPr>
      <w:r>
        <w:rPr>
          <w:rFonts w:hint="eastAsia" w:ascii="仿宋_GB2312" w:hAnsi="宋体" w:eastAsia="仿宋_GB2312"/>
          <w:b/>
          <w:sz w:val="28"/>
          <w:szCs w:val="28"/>
          <w:highlight w:val="none"/>
        </w:rPr>
        <w:t>九、论文答辩与学位授予</w:t>
      </w:r>
    </w:p>
    <w:p w14:paraId="53435EA5">
      <w:pPr>
        <w:numPr>
          <w:ilvl w:val="0"/>
          <w:numId w:val="0"/>
        </w:numPr>
        <w:adjustRightInd w:val="0"/>
        <w:snapToGrid w:val="0"/>
        <w:spacing w:line="500" w:lineRule="exact"/>
        <w:ind w:leftChars="0" w:firstLine="560" w:firstLineChars="200"/>
        <w:jc w:val="left"/>
        <w:rPr>
          <w:rFonts w:hint="eastAsia" w:ascii="仿宋_GB2312" w:hAnsi="宋体" w:eastAsia="仿宋_GB2312"/>
          <w:b/>
          <w:sz w:val="28"/>
          <w:szCs w:val="28"/>
          <w:highlight w:val="none"/>
        </w:rPr>
      </w:pPr>
      <w:r>
        <w:rPr>
          <w:rFonts w:hint="eastAsia" w:ascii="仿宋_GB2312" w:hAnsi="宋体" w:eastAsia="仿宋_GB2312"/>
          <w:sz w:val="28"/>
          <w:szCs w:val="28"/>
          <w:highlight w:val="none"/>
        </w:rPr>
        <w:t>严格按照《中山大学博士硕士学位授予工作细则》有关规定执行</w:t>
      </w:r>
      <w:r>
        <w:rPr>
          <w:rFonts w:hint="eastAsia" w:ascii="仿宋_GB2312" w:hAnsi="宋体" w:eastAsia="仿宋_GB2312"/>
          <w:sz w:val="28"/>
          <w:szCs w:val="28"/>
          <w:highlight w:val="none"/>
          <w:lang w:eastAsia="zh-CN"/>
        </w:rPr>
        <w:t>。</w:t>
      </w:r>
    </w:p>
    <w:p w14:paraId="0FB3029A">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1</w:t>
      </w:r>
      <w:r>
        <w:rPr>
          <w:rFonts w:hint="eastAsia" w:ascii="仿宋_GB2312" w:hAnsi="宋体" w:eastAsia="仿宋_GB2312"/>
          <w:sz w:val="28"/>
          <w:szCs w:val="28"/>
          <w:highlight w:val="none"/>
        </w:rPr>
        <w:t>、论文评审与答辩</w:t>
      </w:r>
      <w:r>
        <w:rPr>
          <w:rFonts w:ascii="仿宋_GB2312" w:hAnsi="宋体" w:eastAsia="仿宋_GB2312"/>
          <w:sz w:val="28"/>
          <w:szCs w:val="28"/>
          <w:highlight w:val="none"/>
        </w:rPr>
        <w:t xml:space="preserve"> </w:t>
      </w:r>
    </w:p>
    <w:p w14:paraId="0A616827">
      <w:pPr>
        <w:adjustRightInd w:val="0"/>
        <w:snapToGrid w:val="0"/>
        <w:spacing w:line="5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学生必须完成培养方案中规定的所有环节，成绩合格，修满</w:t>
      </w:r>
      <w:r>
        <w:rPr>
          <w:rFonts w:hint="eastAsia" w:ascii="仿宋_GB2312" w:hAnsi="宋体" w:eastAsia="仿宋_GB2312"/>
          <w:sz w:val="28"/>
          <w:szCs w:val="28"/>
          <w:highlight w:val="none"/>
          <w:lang w:val="en-US" w:eastAsia="zh-CN"/>
        </w:rPr>
        <w:t>培养方案</w:t>
      </w:r>
      <w:r>
        <w:rPr>
          <w:rFonts w:hint="eastAsia" w:ascii="仿宋_GB2312" w:hAnsi="宋体" w:eastAsia="仿宋_GB2312"/>
          <w:sz w:val="28"/>
          <w:szCs w:val="28"/>
          <w:highlight w:val="none"/>
        </w:rPr>
        <w:t>规定</w:t>
      </w:r>
      <w:r>
        <w:rPr>
          <w:rFonts w:hint="eastAsia" w:ascii="仿宋_GB2312" w:hAnsi="宋体" w:eastAsia="仿宋_GB2312"/>
          <w:sz w:val="28"/>
          <w:szCs w:val="28"/>
          <w:highlight w:val="none"/>
          <w:lang w:val="en-US" w:eastAsia="zh-CN"/>
        </w:rPr>
        <w:t>的</w:t>
      </w:r>
      <w:r>
        <w:rPr>
          <w:rFonts w:hint="eastAsia" w:ascii="仿宋_GB2312" w:hAnsi="宋体" w:eastAsia="仿宋_GB2312"/>
          <w:sz w:val="28"/>
          <w:szCs w:val="28"/>
          <w:highlight w:val="none"/>
        </w:rPr>
        <w:t>学分，方可申请参加学位论文答辩。</w:t>
      </w:r>
    </w:p>
    <w:p w14:paraId="2E7CCA69">
      <w:pPr>
        <w:adjustRightInd w:val="0"/>
        <w:snapToGrid w:val="0"/>
        <w:spacing w:line="500" w:lineRule="exact"/>
        <w:ind w:firstLine="560" w:firstLineChars="200"/>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rPr>
        <w:t>论文除经导师写出详细的评阅意见外，还应由</w:t>
      </w: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名本领域</w:t>
      </w:r>
      <w:r>
        <w:rPr>
          <w:rFonts w:hint="eastAsia" w:ascii="仿宋_GB2312" w:hAnsi="宋体" w:eastAsia="仿宋_GB2312"/>
          <w:sz w:val="28"/>
          <w:szCs w:val="28"/>
          <w:highlight w:val="none"/>
          <w:lang w:val="en-US" w:eastAsia="zh-CN"/>
        </w:rPr>
        <w:t>高水平</w:t>
      </w:r>
      <w:r>
        <w:rPr>
          <w:rFonts w:hint="eastAsia" w:ascii="仿宋_GB2312" w:hAnsi="宋体" w:eastAsia="仿宋_GB2312"/>
          <w:sz w:val="28"/>
          <w:szCs w:val="28"/>
          <w:highlight w:val="none"/>
        </w:rPr>
        <w:t>专家评阅，通过评阅后方可参加答辩</w:t>
      </w:r>
      <w:r>
        <w:rPr>
          <w:rFonts w:hint="eastAsia" w:ascii="仿宋_GB2312" w:hAnsi="宋体" w:eastAsia="仿宋_GB2312"/>
          <w:sz w:val="28"/>
          <w:szCs w:val="28"/>
          <w:highlight w:val="none"/>
          <w:lang w:eastAsia="zh-CN"/>
        </w:rPr>
        <w:t>。</w:t>
      </w:r>
    </w:p>
    <w:p w14:paraId="729AABD5">
      <w:pPr>
        <w:adjustRightInd w:val="0"/>
        <w:snapToGrid w:val="0"/>
        <w:spacing w:line="500"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答辩委员会应由</w:t>
      </w:r>
      <w:r>
        <w:rPr>
          <w:rFonts w:ascii="仿宋_GB2312" w:hAnsi="宋体" w:eastAsia="仿宋_GB2312"/>
          <w:sz w:val="28"/>
          <w:szCs w:val="28"/>
          <w:highlight w:val="none"/>
        </w:rPr>
        <w:t>5</w:t>
      </w:r>
      <w:r>
        <w:rPr>
          <w:rFonts w:hint="eastAsia" w:ascii="仿宋_GB2312" w:hAnsi="宋体" w:eastAsia="仿宋_GB2312"/>
          <w:sz w:val="28"/>
          <w:szCs w:val="28"/>
          <w:highlight w:val="none"/>
        </w:rPr>
        <w:t>～</w:t>
      </w:r>
      <w:r>
        <w:rPr>
          <w:rFonts w:ascii="仿宋_GB2312" w:hAnsi="宋体" w:eastAsia="仿宋_GB2312"/>
          <w:sz w:val="28"/>
          <w:szCs w:val="28"/>
          <w:highlight w:val="none"/>
        </w:rPr>
        <w:t>7</w:t>
      </w:r>
      <w:r>
        <w:rPr>
          <w:rFonts w:hint="eastAsia" w:ascii="仿宋_GB2312" w:hAnsi="宋体" w:eastAsia="仿宋_GB2312"/>
          <w:sz w:val="28"/>
          <w:szCs w:val="28"/>
          <w:highlight w:val="none"/>
        </w:rPr>
        <w:t>位与本领域相关的专家组成。</w:t>
      </w:r>
      <w:r>
        <w:rPr>
          <w:rFonts w:hint="eastAsia" w:ascii="仿宋_GB2312" w:hAnsi="宋体" w:eastAsia="仿宋_GB2312"/>
          <w:sz w:val="28"/>
          <w:szCs w:val="28"/>
          <w:highlight w:val="none"/>
          <w:lang w:val="en-US" w:eastAsia="zh-CN"/>
        </w:rPr>
        <w:t>论文答辩程序严格根据《中山大学博士硕士学位授予工作细则》的规定执行。</w:t>
      </w:r>
    </w:p>
    <w:p w14:paraId="705D717D">
      <w:pPr>
        <w:adjustRightInd w:val="0"/>
        <w:snapToGrid w:val="0"/>
        <w:spacing w:line="5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rPr>
        <w:t>、毕业与学位授予</w:t>
      </w:r>
      <w:r>
        <w:rPr>
          <w:rFonts w:ascii="仿宋_GB2312" w:hAnsi="宋体" w:eastAsia="仿宋_GB2312"/>
          <w:sz w:val="28"/>
          <w:szCs w:val="28"/>
          <w:highlight w:val="none"/>
        </w:rPr>
        <w:t xml:space="preserve"> </w:t>
      </w:r>
    </w:p>
    <w:p w14:paraId="3667408F">
      <w:pPr>
        <w:adjustRightInd w:val="0"/>
        <w:snapToGrid w:val="0"/>
        <w:spacing w:line="500" w:lineRule="exact"/>
        <w:ind w:firstLine="560" w:firstLineChars="200"/>
        <w:jc w:val="left"/>
        <w:rPr>
          <w:rFonts w:hint="eastAsia" w:ascii="仿宋_GB2312" w:hAnsi="宋体" w:eastAsia="仿宋_GB2312"/>
          <w:sz w:val="28"/>
          <w:szCs w:val="28"/>
          <w:highlight w:val="none"/>
        </w:rPr>
      </w:pPr>
      <w:r>
        <w:rPr>
          <w:rFonts w:hint="eastAsia" w:ascii="仿宋_GB2312" w:hAnsi="宋体" w:eastAsia="仿宋_GB2312"/>
          <w:sz w:val="28"/>
          <w:szCs w:val="28"/>
          <w:highlight w:val="none"/>
        </w:rPr>
        <w:t>严格按照《中山大学博士硕士学位授予工作细则》要求执行。</w:t>
      </w:r>
      <w:r>
        <w:rPr>
          <w:rFonts w:hint="eastAsia" w:eastAsia="仿宋_GB2312"/>
          <w:sz w:val="28"/>
          <w:szCs w:val="28"/>
          <w:highlight w:val="none"/>
        </w:rPr>
        <w:t>在符合学校有关规定基本要求的前提下，研究成果满足学校和学院的相关要求和规定，完成博士论文并通过论文答辩者，按一级学科计算机科学与技术毕业，授予工学</w:t>
      </w:r>
      <w:r>
        <w:rPr>
          <w:rFonts w:hint="eastAsia" w:eastAsia="仿宋_GB2312"/>
          <w:sz w:val="28"/>
          <w:szCs w:val="28"/>
          <w:highlight w:val="none"/>
          <w:lang w:val="en-US" w:eastAsia="zh-CN"/>
        </w:rPr>
        <w:t>博士学位</w:t>
      </w:r>
      <w:r>
        <w:rPr>
          <w:rFonts w:hint="eastAsia" w:ascii="仿宋_GB2312" w:hAnsi="宋体" w:eastAsia="仿宋_GB2312"/>
          <w:sz w:val="28"/>
          <w:szCs w:val="28"/>
          <w:highlight w:val="none"/>
        </w:rPr>
        <w:t>。</w:t>
      </w:r>
    </w:p>
    <w:p w14:paraId="719A81D4">
      <w:pPr>
        <w:adjustRightInd w:val="0"/>
        <w:snapToGrid w:val="0"/>
        <w:spacing w:line="500" w:lineRule="exact"/>
        <w:ind w:firstLine="560" w:firstLineChars="200"/>
        <w:jc w:val="left"/>
        <w:rPr>
          <w:rFonts w:hint="eastAsia" w:ascii="仿宋_GB2312" w:hAnsi="宋体" w:eastAsia="仿宋_GB2312"/>
          <w:sz w:val="28"/>
          <w:szCs w:val="28"/>
          <w:highlight w:val="none"/>
        </w:rPr>
      </w:pPr>
    </w:p>
    <w:p w14:paraId="21C47E04">
      <w:pPr>
        <w:adjustRightInd w:val="0"/>
        <w:snapToGrid w:val="0"/>
        <w:spacing w:line="500" w:lineRule="exact"/>
        <w:jc w:val="left"/>
        <w:rPr>
          <w:rFonts w:ascii="仿宋_GB2312" w:hAnsi="宋体" w:eastAsia="仿宋_GB2312"/>
          <w:b/>
          <w:sz w:val="28"/>
          <w:szCs w:val="28"/>
          <w:highlight w:val="none"/>
        </w:rPr>
      </w:pPr>
      <w:r>
        <w:rPr>
          <w:rFonts w:ascii="仿宋_GB2312" w:hAnsi="宋体" w:eastAsia="仿宋_GB2312"/>
          <w:sz w:val="28"/>
          <w:szCs w:val="28"/>
          <w:highlight w:val="none"/>
        </w:rPr>
        <w:t xml:space="preserve"> </w:t>
      </w:r>
      <w:r>
        <w:rPr>
          <w:rFonts w:hint="eastAsia" w:ascii="仿宋_GB2312" w:hAnsi="宋体" w:eastAsia="仿宋_GB2312"/>
          <w:b/>
          <w:sz w:val="28"/>
          <w:szCs w:val="28"/>
          <w:highlight w:val="none"/>
        </w:rPr>
        <w:t>十、必读和选读书目</w:t>
      </w:r>
    </w:p>
    <w:p w14:paraId="77C67B9F">
      <w:pPr>
        <w:adjustRightInd w:val="0"/>
        <w:snapToGrid w:val="0"/>
        <w:spacing w:line="500" w:lineRule="exact"/>
        <w:jc w:val="left"/>
        <w:rPr>
          <w:rFonts w:ascii="仿宋_GB2312" w:hAnsi="宋体" w:eastAsia="仿宋_GB2312"/>
          <w:b/>
          <w:sz w:val="28"/>
          <w:szCs w:val="28"/>
          <w:highlight w:val="none"/>
        </w:rPr>
      </w:pPr>
    </w:p>
    <w:tbl>
      <w:tblPr>
        <w:tblStyle w:val="19"/>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06"/>
        <w:gridCol w:w="1559"/>
        <w:gridCol w:w="1134"/>
        <w:gridCol w:w="1134"/>
        <w:gridCol w:w="709"/>
      </w:tblGrid>
      <w:tr w14:paraId="2A312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bottom w:val="single" w:color="auto" w:sz="12" w:space="0"/>
            </w:tcBorders>
            <w:shd w:val="clear" w:color="auto" w:fill="F2F2F2"/>
            <w:vAlign w:val="center"/>
          </w:tcPr>
          <w:p w14:paraId="0498238E">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序号</w:t>
            </w:r>
          </w:p>
        </w:tc>
        <w:tc>
          <w:tcPr>
            <w:tcW w:w="3006" w:type="dxa"/>
            <w:tcBorders>
              <w:top w:val="single" w:color="auto" w:sz="12" w:space="0"/>
              <w:bottom w:val="single" w:color="auto" w:sz="12" w:space="0"/>
            </w:tcBorders>
            <w:shd w:val="clear" w:color="auto" w:fill="F2F2F2"/>
            <w:vAlign w:val="center"/>
          </w:tcPr>
          <w:p w14:paraId="7DC9A8FC">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著作或期刊名</w:t>
            </w:r>
          </w:p>
        </w:tc>
        <w:tc>
          <w:tcPr>
            <w:tcW w:w="1559" w:type="dxa"/>
            <w:tcBorders>
              <w:top w:val="single" w:color="auto" w:sz="12" w:space="0"/>
              <w:bottom w:val="single" w:color="auto" w:sz="12" w:space="0"/>
            </w:tcBorders>
            <w:shd w:val="clear" w:color="auto" w:fill="F2F2F2"/>
            <w:vAlign w:val="center"/>
          </w:tcPr>
          <w:p w14:paraId="03E107A1">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作者及出版社</w:t>
            </w:r>
          </w:p>
        </w:tc>
        <w:tc>
          <w:tcPr>
            <w:tcW w:w="1134" w:type="dxa"/>
            <w:tcBorders>
              <w:top w:val="single" w:color="auto" w:sz="12" w:space="0"/>
              <w:bottom w:val="single" w:color="auto" w:sz="12" w:space="0"/>
            </w:tcBorders>
            <w:shd w:val="clear" w:color="auto" w:fill="F2F2F2"/>
            <w:vAlign w:val="center"/>
          </w:tcPr>
          <w:p w14:paraId="1C84AA40">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必</w:t>
            </w:r>
            <w:r>
              <w:rPr>
                <w:rFonts w:ascii="仿宋_GB2312" w:hAnsi="宋体" w:eastAsia="仿宋_GB2312"/>
                <w:b/>
                <w:szCs w:val="21"/>
                <w:highlight w:val="none"/>
              </w:rPr>
              <w:t>(</w:t>
            </w:r>
            <w:r>
              <w:rPr>
                <w:rFonts w:hint="eastAsia" w:ascii="仿宋_GB2312" w:hAnsi="宋体" w:eastAsia="仿宋_GB2312"/>
                <w:b/>
                <w:szCs w:val="21"/>
                <w:highlight w:val="none"/>
              </w:rPr>
              <w:t>选</w:t>
            </w:r>
            <w:r>
              <w:rPr>
                <w:rFonts w:ascii="仿宋_GB2312" w:hAnsi="宋体" w:eastAsia="仿宋_GB2312"/>
                <w:b/>
                <w:szCs w:val="21"/>
                <w:highlight w:val="none"/>
              </w:rPr>
              <w:t>)</w:t>
            </w:r>
            <w:r>
              <w:rPr>
                <w:rFonts w:hint="eastAsia" w:ascii="仿宋_GB2312" w:hAnsi="宋体" w:eastAsia="仿宋_GB2312"/>
                <w:b/>
                <w:szCs w:val="21"/>
                <w:highlight w:val="none"/>
              </w:rPr>
              <w:t>读</w:t>
            </w:r>
          </w:p>
        </w:tc>
        <w:tc>
          <w:tcPr>
            <w:tcW w:w="1134" w:type="dxa"/>
            <w:tcBorders>
              <w:top w:val="single" w:color="auto" w:sz="12" w:space="0"/>
              <w:bottom w:val="single" w:color="auto" w:sz="12" w:space="0"/>
            </w:tcBorders>
            <w:shd w:val="clear" w:color="auto" w:fill="F2F2F2"/>
            <w:vAlign w:val="center"/>
          </w:tcPr>
          <w:p w14:paraId="27A6634A">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考核方式</w:t>
            </w:r>
          </w:p>
        </w:tc>
        <w:tc>
          <w:tcPr>
            <w:tcW w:w="709" w:type="dxa"/>
            <w:tcBorders>
              <w:top w:val="single" w:color="auto" w:sz="12" w:space="0"/>
              <w:bottom w:val="single" w:color="auto" w:sz="12" w:space="0"/>
              <w:right w:val="single" w:color="auto" w:sz="12" w:space="0"/>
            </w:tcBorders>
            <w:shd w:val="clear" w:color="auto" w:fill="F2F2F2"/>
            <w:vAlign w:val="center"/>
          </w:tcPr>
          <w:p w14:paraId="096648DF">
            <w:pPr>
              <w:tabs>
                <w:tab w:val="left" w:pos="3348"/>
                <w:tab w:val="left" w:pos="4968"/>
              </w:tabs>
              <w:spacing w:before="100" w:beforeAutospacing="1" w:after="100" w:afterAutospacing="1"/>
              <w:jc w:val="center"/>
              <w:rPr>
                <w:rFonts w:ascii="仿宋_GB2312" w:hAnsi="宋体" w:eastAsia="仿宋_GB2312"/>
                <w:b/>
                <w:szCs w:val="21"/>
                <w:highlight w:val="none"/>
              </w:rPr>
            </w:pPr>
            <w:r>
              <w:rPr>
                <w:rFonts w:hint="eastAsia" w:ascii="仿宋_GB2312" w:hAnsi="宋体" w:eastAsia="仿宋_GB2312"/>
                <w:b/>
                <w:szCs w:val="21"/>
                <w:highlight w:val="none"/>
              </w:rPr>
              <w:t>备注</w:t>
            </w:r>
          </w:p>
        </w:tc>
      </w:tr>
      <w:tr w14:paraId="140CB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tcBorders>
              <w:top w:val="single" w:color="auto" w:sz="12" w:space="0"/>
              <w:left w:val="single" w:color="auto" w:sz="12" w:space="0"/>
            </w:tcBorders>
            <w:vAlign w:val="center"/>
          </w:tcPr>
          <w:p w14:paraId="4D460AE0">
            <w:pPr>
              <w:tabs>
                <w:tab w:val="left" w:pos="3348"/>
                <w:tab w:val="left" w:pos="4968"/>
              </w:tabs>
              <w:jc w:val="center"/>
              <w:rPr>
                <w:rFonts w:ascii="仿宋_GB2312" w:hAnsi="宋体" w:eastAsia="仿宋_GB2312"/>
                <w:szCs w:val="21"/>
                <w:highlight w:val="none"/>
              </w:rPr>
            </w:pPr>
            <w:r>
              <w:rPr>
                <w:rFonts w:ascii="仿宋_GB2312" w:hAnsi="宋体" w:eastAsia="仿宋_GB2312"/>
                <w:szCs w:val="21"/>
                <w:highlight w:val="none"/>
              </w:rPr>
              <w:t>1</w:t>
            </w:r>
          </w:p>
        </w:tc>
        <w:tc>
          <w:tcPr>
            <w:tcW w:w="3006" w:type="dxa"/>
            <w:tcBorders>
              <w:top w:val="single" w:color="auto" w:sz="12" w:space="0"/>
            </w:tcBorders>
            <w:vAlign w:val="center"/>
          </w:tcPr>
          <w:p w14:paraId="13BEA1C6">
            <w:pPr>
              <w:tabs>
                <w:tab w:val="left" w:pos="3348"/>
                <w:tab w:val="left" w:pos="4968"/>
              </w:tabs>
              <w:jc w:val="left"/>
              <w:rPr>
                <w:rFonts w:ascii="仿宋_GB2312" w:hAnsi="宋体" w:eastAsia="仿宋_GB2312"/>
                <w:szCs w:val="21"/>
                <w:highlight w:val="none"/>
              </w:rPr>
            </w:pPr>
            <w:r>
              <w:rPr>
                <w:rFonts w:hint="eastAsia" w:ascii="仿宋_GB2312" w:hAnsi="仿宋" w:eastAsia="仿宋_GB2312"/>
                <w:bCs/>
                <w:sz w:val="18"/>
                <w:szCs w:val="18"/>
                <w:highlight w:val="none"/>
              </w:rPr>
              <w:t>中国计算机学会推荐的A类和B类</w:t>
            </w:r>
          </w:p>
        </w:tc>
        <w:tc>
          <w:tcPr>
            <w:tcW w:w="1559" w:type="dxa"/>
            <w:tcBorders>
              <w:top w:val="single" w:color="auto" w:sz="12" w:space="0"/>
            </w:tcBorders>
            <w:vAlign w:val="center"/>
          </w:tcPr>
          <w:p w14:paraId="6E1754B9">
            <w:pPr>
              <w:tabs>
                <w:tab w:val="left" w:pos="3348"/>
                <w:tab w:val="left" w:pos="4968"/>
              </w:tabs>
              <w:jc w:val="center"/>
              <w:rPr>
                <w:rFonts w:hint="eastAsia" w:ascii="仿宋_GB2312" w:hAnsi="宋体" w:eastAsia="仿宋_GB2312"/>
                <w:szCs w:val="21"/>
                <w:highlight w:val="none"/>
                <w:lang w:val="en-US" w:eastAsia="zh-CN"/>
              </w:rPr>
            </w:pPr>
            <w:r>
              <w:rPr>
                <w:rFonts w:hint="eastAsia" w:ascii="仿宋_GB2312" w:hAnsi="宋体" w:eastAsia="仿宋_GB2312"/>
                <w:szCs w:val="21"/>
                <w:highlight w:val="none"/>
                <w:lang w:val="en-US" w:eastAsia="zh-CN"/>
              </w:rPr>
              <w:t>/</w:t>
            </w:r>
          </w:p>
        </w:tc>
        <w:tc>
          <w:tcPr>
            <w:tcW w:w="1134" w:type="dxa"/>
            <w:tcBorders>
              <w:top w:val="single" w:color="auto" w:sz="12" w:space="0"/>
            </w:tcBorders>
            <w:vAlign w:val="center"/>
          </w:tcPr>
          <w:p w14:paraId="2BD58387">
            <w:pPr>
              <w:tabs>
                <w:tab w:val="left" w:pos="3348"/>
                <w:tab w:val="left" w:pos="4968"/>
              </w:tabs>
              <w:jc w:val="center"/>
              <w:rPr>
                <w:rFonts w:ascii="仿宋_GB2312" w:hAnsi="宋体" w:eastAsia="仿宋_GB2312"/>
                <w:szCs w:val="21"/>
                <w:highlight w:val="none"/>
              </w:rPr>
            </w:pPr>
            <w:r>
              <w:rPr>
                <w:rFonts w:hint="eastAsia" w:ascii="仿宋_GB2312" w:hAnsi="宋体" w:eastAsia="仿宋_GB2312"/>
                <w:szCs w:val="21"/>
                <w:highlight w:val="none"/>
              </w:rPr>
              <w:t>选读</w:t>
            </w:r>
          </w:p>
        </w:tc>
        <w:tc>
          <w:tcPr>
            <w:tcW w:w="1134" w:type="dxa"/>
            <w:tcBorders>
              <w:top w:val="single" w:color="auto" w:sz="12" w:space="0"/>
            </w:tcBorders>
            <w:vAlign w:val="center"/>
          </w:tcPr>
          <w:p w14:paraId="171782A4">
            <w:pPr>
              <w:tabs>
                <w:tab w:val="left" w:pos="3348"/>
                <w:tab w:val="left" w:pos="4968"/>
              </w:tabs>
              <w:adjustRightInd w:val="0"/>
              <w:snapToGrid w:val="0"/>
              <w:jc w:val="center"/>
              <w:rPr>
                <w:rFonts w:ascii="仿宋_GB2312" w:hAnsi="宋体" w:eastAsia="仿宋_GB2312"/>
                <w:szCs w:val="21"/>
                <w:highlight w:val="none"/>
              </w:rPr>
            </w:pPr>
            <w:r>
              <w:rPr>
                <w:rFonts w:hint="eastAsia" w:ascii="仿宋_GB2312" w:hAnsi="宋体" w:eastAsia="仿宋_GB2312"/>
                <w:szCs w:val="21"/>
                <w:highlight w:val="none"/>
              </w:rPr>
              <w:t>导师考核</w:t>
            </w:r>
          </w:p>
        </w:tc>
        <w:tc>
          <w:tcPr>
            <w:tcW w:w="709" w:type="dxa"/>
            <w:tcBorders>
              <w:top w:val="single" w:color="auto" w:sz="12" w:space="0"/>
              <w:right w:val="single" w:color="auto" w:sz="12" w:space="0"/>
            </w:tcBorders>
            <w:vAlign w:val="center"/>
          </w:tcPr>
          <w:p w14:paraId="4191DACD">
            <w:pPr>
              <w:tabs>
                <w:tab w:val="left" w:pos="3348"/>
                <w:tab w:val="left" w:pos="4968"/>
              </w:tabs>
              <w:adjustRightInd w:val="0"/>
              <w:snapToGrid w:val="0"/>
              <w:jc w:val="center"/>
              <w:rPr>
                <w:rFonts w:ascii="仿宋_GB2312" w:hAnsi="宋体" w:eastAsia="仿宋_GB2312"/>
                <w:szCs w:val="21"/>
                <w:highlight w:val="none"/>
              </w:rPr>
            </w:pPr>
          </w:p>
        </w:tc>
      </w:tr>
    </w:tbl>
    <w:p w14:paraId="3F628F3C">
      <w:pPr>
        <w:spacing w:line="500" w:lineRule="exact"/>
        <w:rPr>
          <w:rFonts w:eastAsia="仿宋_GB2312"/>
          <w:sz w:val="28"/>
          <w:szCs w:val="28"/>
          <w:highlight w:val="none"/>
        </w:rPr>
      </w:pPr>
    </w:p>
    <w:p w14:paraId="14C342C8">
      <w:pPr>
        <w:snapToGrid w:val="0"/>
        <w:spacing w:line="360" w:lineRule="auto"/>
        <w:ind w:firstLine="4270" w:firstLineChars="1525"/>
        <w:rPr>
          <w:rFonts w:eastAsia="楷体"/>
          <w:color w:val="000000"/>
          <w:sz w:val="28"/>
          <w:szCs w:val="28"/>
          <w:highlight w:val="none"/>
        </w:rPr>
      </w:pPr>
      <w:r>
        <w:rPr>
          <w:rFonts w:eastAsia="黑体"/>
          <w:bCs/>
          <w:color w:val="000000"/>
          <w:sz w:val="28"/>
          <w:szCs w:val="28"/>
          <w:highlight w:val="none"/>
        </w:rPr>
        <w:t>负责人</w:t>
      </w:r>
      <w:r>
        <w:rPr>
          <w:rFonts w:hint="eastAsia" w:eastAsia="黑体"/>
          <w:bCs/>
          <w:color w:val="000000"/>
          <w:sz w:val="28"/>
          <w:szCs w:val="28"/>
          <w:highlight w:val="none"/>
        </w:rPr>
        <w:t>：</w:t>
      </w:r>
    </w:p>
    <w:p w14:paraId="658CE7A7">
      <w:pPr>
        <w:spacing w:line="360" w:lineRule="auto"/>
        <w:jc w:val="right"/>
        <w:rPr>
          <w:rFonts w:eastAsia="仿宋_GB2312"/>
          <w:color w:val="000000" w:themeColor="text1"/>
          <w:sz w:val="28"/>
          <w:szCs w:val="28"/>
          <w:highlight w:val="none"/>
          <w14:textFill>
            <w14:solidFill>
              <w14:schemeClr w14:val="tx1"/>
            </w14:solidFill>
          </w14:textFill>
        </w:rPr>
      </w:pPr>
      <w:r>
        <w:rPr>
          <w:rFonts w:eastAsia="仿宋_GB2312"/>
          <w:color w:val="000000"/>
          <w:sz w:val="28"/>
          <w:szCs w:val="28"/>
          <w:highlight w:val="none"/>
        </w:rPr>
        <w:t>修订</w:t>
      </w:r>
      <w:r>
        <w:rPr>
          <w:rFonts w:eastAsia="仿宋_GB2312"/>
          <w:color w:val="000000"/>
          <w:sz w:val="28"/>
          <w:szCs w:val="28"/>
          <w:highlight w:val="none"/>
          <w:lang w:eastAsia="zh-TW"/>
        </w:rPr>
        <w:t>日期：</w:t>
      </w:r>
      <w:r>
        <w:rPr>
          <w:rFonts w:hint="eastAsia" w:eastAsia="仿宋_GB2312"/>
          <w:color w:val="000000"/>
          <w:sz w:val="28"/>
          <w:szCs w:val="28"/>
          <w:highlight w:val="none"/>
          <w:lang w:val="en-US" w:eastAsia="zh-CN"/>
        </w:rPr>
        <w:t>2024</w:t>
      </w:r>
      <w:r>
        <w:rPr>
          <w:rFonts w:eastAsia="仿宋_GB2312"/>
          <w:color w:val="000000"/>
          <w:sz w:val="28"/>
          <w:szCs w:val="28"/>
          <w:highlight w:val="none"/>
          <w:lang w:eastAsia="zh-TW"/>
        </w:rPr>
        <w:t>年</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6</w:t>
      </w:r>
      <w:r>
        <w:rPr>
          <w:rFonts w:eastAsia="仿宋_GB2312"/>
          <w:color w:val="000000"/>
          <w:sz w:val="28"/>
          <w:szCs w:val="28"/>
          <w:highlight w:val="none"/>
        </w:rPr>
        <w:t xml:space="preserve"> </w:t>
      </w:r>
      <w:r>
        <w:rPr>
          <w:rFonts w:eastAsia="仿宋_GB2312"/>
          <w:color w:val="000000"/>
          <w:sz w:val="28"/>
          <w:szCs w:val="28"/>
          <w:highlight w:val="none"/>
          <w:lang w:eastAsia="zh-TW"/>
        </w:rPr>
        <w:t>月</w:t>
      </w:r>
      <w:r>
        <w:rPr>
          <w:rFonts w:eastAsia="仿宋_GB2312"/>
          <w:color w:val="000000"/>
          <w:sz w:val="28"/>
          <w:szCs w:val="28"/>
          <w:highlight w:val="none"/>
        </w:rPr>
        <w:t xml:space="preserve"> </w:t>
      </w:r>
      <w:r>
        <w:rPr>
          <w:rFonts w:hint="eastAsia" w:eastAsia="仿宋_GB2312"/>
          <w:color w:val="000000"/>
          <w:sz w:val="28"/>
          <w:szCs w:val="28"/>
          <w:highlight w:val="none"/>
          <w:lang w:val="en-US" w:eastAsia="zh-CN"/>
        </w:rPr>
        <w:t>14</w:t>
      </w:r>
      <w:r>
        <w:rPr>
          <w:rFonts w:eastAsia="仿宋_GB2312"/>
          <w:color w:val="000000"/>
          <w:sz w:val="28"/>
          <w:szCs w:val="28"/>
          <w:highlight w:val="none"/>
        </w:rPr>
        <w:t xml:space="preserve">  </w:t>
      </w:r>
      <w:r>
        <w:rPr>
          <w:rFonts w:eastAsia="仿宋_GB2312"/>
          <w:color w:val="000000"/>
          <w:sz w:val="28"/>
          <w:szCs w:val="28"/>
          <w:highlight w:val="none"/>
          <w:lang w:eastAsia="zh-TW"/>
        </w:rPr>
        <w:t>日</w:t>
      </w:r>
    </w:p>
    <w:p w14:paraId="663927BC">
      <w:pPr>
        <w:spacing w:line="500" w:lineRule="exact"/>
        <w:rPr>
          <w:rFonts w:eastAsia="仿宋_GB2312"/>
          <w:color w:val="000000" w:themeColor="text1"/>
          <w:sz w:val="28"/>
          <w:szCs w:val="28"/>
          <w:highlight w:val="none"/>
          <w14:textFill>
            <w14:solidFill>
              <w14:schemeClr w14:val="tx1"/>
            </w14:solidFill>
          </w14:textFill>
        </w:rPr>
      </w:pPr>
    </w:p>
    <w:p w14:paraId="0C2E3F23">
      <w:pPr>
        <w:spacing w:line="360" w:lineRule="auto"/>
        <w:jc w:val="both"/>
        <w:rPr>
          <w:rFonts w:eastAsia="PMingLiU"/>
          <w:color w:val="000000" w:themeColor="text1"/>
          <w:sz w:val="28"/>
          <w:szCs w:val="28"/>
          <w:highlight w:val="none"/>
          <w:lang w:eastAsia="zh-TW"/>
          <w14:textFill>
            <w14:solidFill>
              <w14:schemeClr w14:val="tx1"/>
            </w14:solidFill>
          </w14:textFill>
        </w:rPr>
      </w:pP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F4">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346C6">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97B63">
    <w:pPr>
      <w:pStyle w:val="12"/>
      <w:framePr w:wrap="around"/>
      <w:ind w:firstLine="2700"/>
    </w:pPr>
    <w:r>
      <w:rPr>
        <w:rStyle w:val="22"/>
      </w:rPr>
      <w:fldChar w:fldCharType="begin"/>
    </w:r>
    <w:r>
      <w:rPr>
        <w:rStyle w:val="22"/>
      </w:rPr>
      <w:instrText xml:space="preserve">PAGE  </w:instrText>
    </w:r>
    <w:r>
      <w:rPr>
        <w:rStyle w:val="22"/>
      </w:rPr>
      <w:fldChar w:fldCharType="separate"/>
    </w:r>
    <w:r>
      <w:rPr>
        <w:rStyle w:val="22"/>
      </w:rPr>
      <w:t>1</w:t>
    </w:r>
    <w:r>
      <w:rPr>
        <w:rStyle w:val="22"/>
      </w:rPr>
      <w:fldChar w:fldCharType="end"/>
    </w:r>
  </w:p>
  <w:p w14:paraId="27444ED2">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53A6A">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91C32"/>
    <w:multiLevelType w:val="multilevel"/>
    <w:tmpl w:val="64D91C32"/>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777B3462"/>
    <w:multiLevelType w:val="singleLevel"/>
    <w:tmpl w:val="777B346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iZjgzODdlYmY2ZGJkZDc4NTNlN2Q4MTI5NzlhYjMifQ=="/>
  </w:docVars>
  <w:rsids>
    <w:rsidRoot w:val="006B3C32"/>
    <w:rsid w:val="00006388"/>
    <w:rsid w:val="000128B1"/>
    <w:rsid w:val="000457AC"/>
    <w:rsid w:val="00056678"/>
    <w:rsid w:val="000603B7"/>
    <w:rsid w:val="000E7CA7"/>
    <w:rsid w:val="000F3967"/>
    <w:rsid w:val="001078F2"/>
    <w:rsid w:val="001604EC"/>
    <w:rsid w:val="00171ABF"/>
    <w:rsid w:val="00196731"/>
    <w:rsid w:val="001A736C"/>
    <w:rsid w:val="001B269D"/>
    <w:rsid w:val="001C3982"/>
    <w:rsid w:val="001D7C5C"/>
    <w:rsid w:val="002272FD"/>
    <w:rsid w:val="002370CC"/>
    <w:rsid w:val="002459C4"/>
    <w:rsid w:val="00261E5C"/>
    <w:rsid w:val="0029640E"/>
    <w:rsid w:val="002A4B1D"/>
    <w:rsid w:val="002D6540"/>
    <w:rsid w:val="002F267E"/>
    <w:rsid w:val="002F50EA"/>
    <w:rsid w:val="003102D9"/>
    <w:rsid w:val="0032144A"/>
    <w:rsid w:val="00332329"/>
    <w:rsid w:val="003773FA"/>
    <w:rsid w:val="003775EE"/>
    <w:rsid w:val="003A76CD"/>
    <w:rsid w:val="003C5713"/>
    <w:rsid w:val="003E55F8"/>
    <w:rsid w:val="00407589"/>
    <w:rsid w:val="004170EF"/>
    <w:rsid w:val="00475192"/>
    <w:rsid w:val="004C08F1"/>
    <w:rsid w:val="004C39A3"/>
    <w:rsid w:val="00505B79"/>
    <w:rsid w:val="00521814"/>
    <w:rsid w:val="005277AB"/>
    <w:rsid w:val="005406F3"/>
    <w:rsid w:val="00542374"/>
    <w:rsid w:val="00553052"/>
    <w:rsid w:val="00581140"/>
    <w:rsid w:val="005863DE"/>
    <w:rsid w:val="00586404"/>
    <w:rsid w:val="005D37F7"/>
    <w:rsid w:val="005D6676"/>
    <w:rsid w:val="005D677B"/>
    <w:rsid w:val="006003DB"/>
    <w:rsid w:val="00601AE2"/>
    <w:rsid w:val="00605B25"/>
    <w:rsid w:val="006064F8"/>
    <w:rsid w:val="006165E6"/>
    <w:rsid w:val="00637F19"/>
    <w:rsid w:val="006428C0"/>
    <w:rsid w:val="00646724"/>
    <w:rsid w:val="006608FE"/>
    <w:rsid w:val="00671C61"/>
    <w:rsid w:val="00683357"/>
    <w:rsid w:val="006A44BE"/>
    <w:rsid w:val="006B0F68"/>
    <w:rsid w:val="006B3C32"/>
    <w:rsid w:val="006C1648"/>
    <w:rsid w:val="00700992"/>
    <w:rsid w:val="007018E2"/>
    <w:rsid w:val="00715346"/>
    <w:rsid w:val="0071558A"/>
    <w:rsid w:val="00743D63"/>
    <w:rsid w:val="0078325F"/>
    <w:rsid w:val="00784B77"/>
    <w:rsid w:val="00793C19"/>
    <w:rsid w:val="007A253C"/>
    <w:rsid w:val="007A2C1C"/>
    <w:rsid w:val="007D4D78"/>
    <w:rsid w:val="007E4DA7"/>
    <w:rsid w:val="00807968"/>
    <w:rsid w:val="00812AED"/>
    <w:rsid w:val="008307C5"/>
    <w:rsid w:val="008321A9"/>
    <w:rsid w:val="00836DDD"/>
    <w:rsid w:val="00853845"/>
    <w:rsid w:val="00857D9F"/>
    <w:rsid w:val="00862984"/>
    <w:rsid w:val="00863D75"/>
    <w:rsid w:val="008676B8"/>
    <w:rsid w:val="008D4AE9"/>
    <w:rsid w:val="008D5C85"/>
    <w:rsid w:val="008F70A6"/>
    <w:rsid w:val="00904D53"/>
    <w:rsid w:val="00912D49"/>
    <w:rsid w:val="00956700"/>
    <w:rsid w:val="00980FCB"/>
    <w:rsid w:val="0099207B"/>
    <w:rsid w:val="009A2BF6"/>
    <w:rsid w:val="009B0FAA"/>
    <w:rsid w:val="009B6D09"/>
    <w:rsid w:val="009C6D96"/>
    <w:rsid w:val="009F47DE"/>
    <w:rsid w:val="00A1192E"/>
    <w:rsid w:val="00A17EA8"/>
    <w:rsid w:val="00A256BF"/>
    <w:rsid w:val="00A41194"/>
    <w:rsid w:val="00A525F2"/>
    <w:rsid w:val="00A55F25"/>
    <w:rsid w:val="00A76E4B"/>
    <w:rsid w:val="00A9481B"/>
    <w:rsid w:val="00AA62DF"/>
    <w:rsid w:val="00AB155B"/>
    <w:rsid w:val="00AB2D8B"/>
    <w:rsid w:val="00AE5B6F"/>
    <w:rsid w:val="00B46BDD"/>
    <w:rsid w:val="00B657C7"/>
    <w:rsid w:val="00B827E1"/>
    <w:rsid w:val="00B85213"/>
    <w:rsid w:val="00BC7ED6"/>
    <w:rsid w:val="00BE3759"/>
    <w:rsid w:val="00BE5C9E"/>
    <w:rsid w:val="00C02B5B"/>
    <w:rsid w:val="00C64D41"/>
    <w:rsid w:val="00C85A01"/>
    <w:rsid w:val="00C91399"/>
    <w:rsid w:val="00C9218C"/>
    <w:rsid w:val="00C97625"/>
    <w:rsid w:val="00CC1603"/>
    <w:rsid w:val="00CD773E"/>
    <w:rsid w:val="00CE3099"/>
    <w:rsid w:val="00CE3AA7"/>
    <w:rsid w:val="00D13BE0"/>
    <w:rsid w:val="00D2343A"/>
    <w:rsid w:val="00D36075"/>
    <w:rsid w:val="00D40048"/>
    <w:rsid w:val="00D96032"/>
    <w:rsid w:val="00DA4B3E"/>
    <w:rsid w:val="00DA56F7"/>
    <w:rsid w:val="00DA70BD"/>
    <w:rsid w:val="00DB0A46"/>
    <w:rsid w:val="00DB6FAA"/>
    <w:rsid w:val="00DC29D4"/>
    <w:rsid w:val="00DF06FD"/>
    <w:rsid w:val="00DF63CE"/>
    <w:rsid w:val="00E044E1"/>
    <w:rsid w:val="00E05000"/>
    <w:rsid w:val="00E41A7F"/>
    <w:rsid w:val="00E60C92"/>
    <w:rsid w:val="00E65A9B"/>
    <w:rsid w:val="00E65BDE"/>
    <w:rsid w:val="00E708ED"/>
    <w:rsid w:val="00E71C21"/>
    <w:rsid w:val="00E745CE"/>
    <w:rsid w:val="00EF1858"/>
    <w:rsid w:val="00F26D7F"/>
    <w:rsid w:val="00F31CD6"/>
    <w:rsid w:val="00F50B8B"/>
    <w:rsid w:val="00F60D4A"/>
    <w:rsid w:val="00F74B50"/>
    <w:rsid w:val="00F76354"/>
    <w:rsid w:val="00FD58D9"/>
    <w:rsid w:val="00FF4530"/>
    <w:rsid w:val="03AA0AA0"/>
    <w:rsid w:val="0469532E"/>
    <w:rsid w:val="059523C9"/>
    <w:rsid w:val="06721CD9"/>
    <w:rsid w:val="0696055B"/>
    <w:rsid w:val="081A67A7"/>
    <w:rsid w:val="081B5561"/>
    <w:rsid w:val="089A6366"/>
    <w:rsid w:val="08CB0206"/>
    <w:rsid w:val="0ABF6E54"/>
    <w:rsid w:val="0D114C60"/>
    <w:rsid w:val="0DE476B3"/>
    <w:rsid w:val="0E7109FC"/>
    <w:rsid w:val="0F8E79FD"/>
    <w:rsid w:val="0FCE62F9"/>
    <w:rsid w:val="10DD77C5"/>
    <w:rsid w:val="11235400"/>
    <w:rsid w:val="11B904BF"/>
    <w:rsid w:val="11C34746"/>
    <w:rsid w:val="153D4B15"/>
    <w:rsid w:val="162075CC"/>
    <w:rsid w:val="166E77C6"/>
    <w:rsid w:val="169350F9"/>
    <w:rsid w:val="17322382"/>
    <w:rsid w:val="17526F1D"/>
    <w:rsid w:val="17FA069D"/>
    <w:rsid w:val="186324F1"/>
    <w:rsid w:val="1DCA5B78"/>
    <w:rsid w:val="1E4602F1"/>
    <w:rsid w:val="1FFD7A16"/>
    <w:rsid w:val="229E0F05"/>
    <w:rsid w:val="236D2E55"/>
    <w:rsid w:val="240C01AE"/>
    <w:rsid w:val="2445116B"/>
    <w:rsid w:val="2585641C"/>
    <w:rsid w:val="26BA61E0"/>
    <w:rsid w:val="27B1010E"/>
    <w:rsid w:val="27BB2ED3"/>
    <w:rsid w:val="28F337C0"/>
    <w:rsid w:val="2A4F49D7"/>
    <w:rsid w:val="2C721D95"/>
    <w:rsid w:val="2D357124"/>
    <w:rsid w:val="2E1110BC"/>
    <w:rsid w:val="2EB85A00"/>
    <w:rsid w:val="302816C8"/>
    <w:rsid w:val="32D97138"/>
    <w:rsid w:val="362550E8"/>
    <w:rsid w:val="36592FBA"/>
    <w:rsid w:val="36B70218"/>
    <w:rsid w:val="377E7D50"/>
    <w:rsid w:val="37DD492E"/>
    <w:rsid w:val="38AB4FE8"/>
    <w:rsid w:val="3C423306"/>
    <w:rsid w:val="3C9141D4"/>
    <w:rsid w:val="3E324EBC"/>
    <w:rsid w:val="3E735171"/>
    <w:rsid w:val="3F365FD1"/>
    <w:rsid w:val="3FBB62DA"/>
    <w:rsid w:val="40C025B6"/>
    <w:rsid w:val="418136E3"/>
    <w:rsid w:val="42551033"/>
    <w:rsid w:val="43E81792"/>
    <w:rsid w:val="44275537"/>
    <w:rsid w:val="47232235"/>
    <w:rsid w:val="47C31407"/>
    <w:rsid w:val="4A260016"/>
    <w:rsid w:val="4C455C43"/>
    <w:rsid w:val="4D9052F6"/>
    <w:rsid w:val="4DEF34FE"/>
    <w:rsid w:val="4E2400F1"/>
    <w:rsid w:val="4FA10F96"/>
    <w:rsid w:val="4FEF3463"/>
    <w:rsid w:val="53EA65EF"/>
    <w:rsid w:val="556916F0"/>
    <w:rsid w:val="57254401"/>
    <w:rsid w:val="57E92B5D"/>
    <w:rsid w:val="59A55F73"/>
    <w:rsid w:val="5BAF214A"/>
    <w:rsid w:val="5C1B6EBE"/>
    <w:rsid w:val="5CC3135C"/>
    <w:rsid w:val="5CE71465"/>
    <w:rsid w:val="5E9309BC"/>
    <w:rsid w:val="612932A9"/>
    <w:rsid w:val="62134236"/>
    <w:rsid w:val="62F840E0"/>
    <w:rsid w:val="64414A95"/>
    <w:rsid w:val="66E1785F"/>
    <w:rsid w:val="677243C5"/>
    <w:rsid w:val="69566EF4"/>
    <w:rsid w:val="69591B97"/>
    <w:rsid w:val="6A151BF9"/>
    <w:rsid w:val="6B1E7CAA"/>
    <w:rsid w:val="6BDE3744"/>
    <w:rsid w:val="6CD769E8"/>
    <w:rsid w:val="6F680B77"/>
    <w:rsid w:val="717D6DC5"/>
    <w:rsid w:val="72E2790B"/>
    <w:rsid w:val="72EC46B2"/>
    <w:rsid w:val="743C692B"/>
    <w:rsid w:val="774F626D"/>
    <w:rsid w:val="790305AD"/>
    <w:rsid w:val="79126EEF"/>
    <w:rsid w:val="794D2D38"/>
    <w:rsid w:val="7D1E70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4"/>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9"/>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0"/>
    <w:autoRedefine/>
    <w:semiHidden/>
    <w:qFormat/>
    <w:uiPriority w:val="99"/>
    <w:pPr>
      <w:shd w:val="clear" w:color="auto" w:fill="000080"/>
    </w:pPr>
  </w:style>
  <w:style w:type="paragraph" w:styleId="6">
    <w:name w:val="annotation text"/>
    <w:link w:val="44"/>
    <w:autoRedefine/>
    <w:unhideWhenUsed/>
    <w:qFormat/>
    <w:uiPriority w:val="99"/>
    <w:pPr>
      <w:widowControl w:val="0"/>
    </w:pPr>
    <w:rPr>
      <w:rFonts w:ascii="Calibri" w:hAnsi="Calibri" w:eastAsia="宋体" w:cs="Times New Roman"/>
      <w:kern w:val="2"/>
      <w:sz w:val="21"/>
      <w:szCs w:val="22"/>
      <w:lang w:val="en-US" w:eastAsia="zh-CN" w:bidi="ar-SA"/>
    </w:rPr>
  </w:style>
  <w:style w:type="paragraph" w:styleId="7">
    <w:name w:val="Body Text Indent"/>
    <w:basedOn w:val="1"/>
    <w:link w:val="27"/>
    <w:autoRedefine/>
    <w:qFormat/>
    <w:uiPriority w:val="0"/>
    <w:pPr>
      <w:spacing w:after="120"/>
      <w:ind w:left="420" w:leftChars="200"/>
    </w:pPr>
    <w:rPr>
      <w:lang w:val="zh-CN"/>
    </w:rPr>
  </w:style>
  <w:style w:type="paragraph" w:styleId="8">
    <w:name w:val="Plain Text"/>
    <w:basedOn w:val="1"/>
    <w:link w:val="41"/>
    <w:autoRedefine/>
    <w:unhideWhenUsed/>
    <w:qFormat/>
    <w:uiPriority w:val="0"/>
    <w:rPr>
      <w:rFonts w:ascii="宋体" w:hAnsi="Courier New" w:cs="Courier New"/>
      <w:szCs w:val="21"/>
    </w:rPr>
  </w:style>
  <w:style w:type="paragraph" w:styleId="9">
    <w:name w:val="Date"/>
    <w:basedOn w:val="1"/>
    <w:next w:val="1"/>
    <w:link w:val="33"/>
    <w:autoRedefine/>
    <w:qFormat/>
    <w:uiPriority w:val="99"/>
    <w:rPr>
      <w:rFonts w:ascii="宋体"/>
      <w:sz w:val="24"/>
    </w:rPr>
  </w:style>
  <w:style w:type="paragraph" w:styleId="10">
    <w:name w:val="Body Text Indent 2"/>
    <w:basedOn w:val="1"/>
    <w:link w:val="32"/>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28"/>
    <w:autoRedefine/>
    <w:semiHidden/>
    <w:qFormat/>
    <w:uiPriority w:val="99"/>
    <w:rPr>
      <w:sz w:val="18"/>
      <w:szCs w:val="18"/>
    </w:rPr>
  </w:style>
  <w:style w:type="paragraph" w:styleId="12">
    <w:name w:val="footer"/>
    <w:basedOn w:val="1"/>
    <w:link w:val="45"/>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40"/>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36"/>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Normal (Web)"/>
    <w:basedOn w:val="1"/>
    <w:semiHidden/>
    <w:unhideWhenUsed/>
    <w:qFormat/>
    <w:uiPriority w:val="99"/>
    <w:rPr>
      <w:sz w:val="24"/>
    </w:rPr>
  </w:style>
  <w:style w:type="paragraph" w:styleId="18">
    <w:name w:val="annotation subject"/>
    <w:basedOn w:val="6"/>
    <w:next w:val="6"/>
    <w:link w:val="43"/>
    <w:autoRedefine/>
    <w:unhideWhenUsed/>
    <w:qFormat/>
    <w:uiPriority w:val="99"/>
    <w:rPr>
      <w:b/>
      <w:bCs/>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qFormat/>
    <w:uiPriority w:val="0"/>
  </w:style>
  <w:style w:type="character" w:styleId="23">
    <w:name w:val="Hyperlink"/>
    <w:basedOn w:val="21"/>
    <w:autoRedefine/>
    <w:unhideWhenUsed/>
    <w:qFormat/>
    <w:uiPriority w:val="99"/>
    <w:rPr>
      <w:color w:val="0000FF"/>
      <w:u w:val="single"/>
    </w:rPr>
  </w:style>
  <w:style w:type="character" w:styleId="24">
    <w:name w:val="annotation reference"/>
    <w:basedOn w:val="21"/>
    <w:autoRedefine/>
    <w:unhideWhenUsed/>
    <w:qFormat/>
    <w:uiPriority w:val="99"/>
    <w:rPr>
      <w:sz w:val="21"/>
      <w:szCs w:val="21"/>
    </w:rPr>
  </w:style>
  <w:style w:type="paragraph" w:customStyle="1" w:styleId="25">
    <w:name w:val="1"/>
    <w:basedOn w:val="1"/>
    <w:next w:val="7"/>
    <w:autoRedefine/>
    <w:qFormat/>
    <w:uiPriority w:val="0"/>
    <w:pPr>
      <w:snapToGrid w:val="0"/>
      <w:spacing w:line="560" w:lineRule="atLeast"/>
      <w:ind w:firstLine="630"/>
    </w:pPr>
    <w:rPr>
      <w:sz w:val="31"/>
    </w:rPr>
  </w:style>
  <w:style w:type="character" w:customStyle="1" w:styleId="26">
    <w:name w:val="Char"/>
    <w:autoRedefine/>
    <w:qFormat/>
    <w:uiPriority w:val="0"/>
    <w:rPr>
      <w:rFonts w:eastAsia="宋体"/>
      <w:kern w:val="2"/>
      <w:sz w:val="31"/>
      <w:lang w:val="en-US" w:eastAsia="zh-CN" w:bidi="ar-SA"/>
    </w:rPr>
  </w:style>
  <w:style w:type="character" w:customStyle="1" w:styleId="27">
    <w:name w:val="正文文本缩进 字符"/>
    <w:basedOn w:val="21"/>
    <w:link w:val="7"/>
    <w:autoRedefine/>
    <w:qFormat/>
    <w:uiPriority w:val="0"/>
    <w:rPr>
      <w:rFonts w:ascii="Times New Roman" w:hAnsi="Times New Roman" w:eastAsia="宋体" w:cs="Times New Roman"/>
      <w:szCs w:val="20"/>
      <w:lang w:val="zh-CN" w:eastAsia="zh-CN"/>
    </w:rPr>
  </w:style>
  <w:style w:type="character" w:customStyle="1" w:styleId="28">
    <w:name w:val="批注框文本 字符"/>
    <w:basedOn w:val="21"/>
    <w:link w:val="11"/>
    <w:autoRedefine/>
    <w:semiHidden/>
    <w:qFormat/>
    <w:uiPriority w:val="99"/>
    <w:rPr>
      <w:rFonts w:ascii="Times New Roman" w:hAnsi="Times New Roman" w:eastAsia="宋体" w:cs="Times New Roman"/>
      <w:sz w:val="18"/>
      <w:szCs w:val="18"/>
    </w:rPr>
  </w:style>
  <w:style w:type="character" w:customStyle="1" w:styleId="29">
    <w:name w:val="正文文本缩进 2 Char1"/>
    <w:basedOn w:val="21"/>
    <w:autoRedefine/>
    <w:qFormat/>
    <w:uiPriority w:val="99"/>
    <w:rPr>
      <w:rFonts w:ascii="Times New Roman" w:hAnsi="Times New Roman" w:eastAsia="宋体" w:cs="Times New Roman"/>
      <w:szCs w:val="20"/>
    </w:rPr>
  </w:style>
  <w:style w:type="character" w:customStyle="1" w:styleId="30">
    <w:name w:val="文档结构图 字符"/>
    <w:basedOn w:val="21"/>
    <w:link w:val="5"/>
    <w:autoRedefine/>
    <w:semiHidden/>
    <w:qFormat/>
    <w:uiPriority w:val="99"/>
    <w:rPr>
      <w:rFonts w:ascii="Times New Roman" w:hAnsi="Times New Roman" w:eastAsia="宋体" w:cs="Times New Roman"/>
      <w:szCs w:val="20"/>
      <w:shd w:val="clear" w:color="auto" w:fill="000080"/>
    </w:rPr>
  </w:style>
  <w:style w:type="paragraph" w:customStyle="1" w:styleId="31">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2">
    <w:name w:val="正文文本缩进 2 字符"/>
    <w:link w:val="10"/>
    <w:autoRedefine/>
    <w:qFormat/>
    <w:uiPriority w:val="0"/>
  </w:style>
  <w:style w:type="character" w:customStyle="1" w:styleId="33">
    <w:name w:val="日期 字符"/>
    <w:basedOn w:val="21"/>
    <w:link w:val="9"/>
    <w:autoRedefine/>
    <w:qFormat/>
    <w:uiPriority w:val="99"/>
    <w:rPr>
      <w:rFonts w:ascii="宋体" w:hAnsi="Times New Roman" w:eastAsia="宋体" w:cs="Times New Roman"/>
      <w:sz w:val="24"/>
      <w:szCs w:val="20"/>
    </w:rPr>
  </w:style>
  <w:style w:type="character" w:customStyle="1" w:styleId="34">
    <w:name w:val="标题 1 字符"/>
    <w:basedOn w:val="21"/>
    <w:link w:val="2"/>
    <w:autoRedefine/>
    <w:qFormat/>
    <w:uiPriority w:val="9"/>
    <w:rPr>
      <w:rFonts w:ascii="Calibri" w:hAnsi="Calibri" w:eastAsia="宋体" w:cs="Times New Roman"/>
      <w:b/>
      <w:bCs/>
      <w:kern w:val="44"/>
      <w:sz w:val="44"/>
      <w:szCs w:val="44"/>
    </w:rPr>
  </w:style>
  <w:style w:type="paragraph" w:customStyle="1" w:styleId="35">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6">
    <w:name w:val="正文文本缩进 3 字符"/>
    <w:link w:val="15"/>
    <w:autoRedefine/>
    <w:qFormat/>
    <w:locked/>
    <w:uiPriority w:val="0"/>
    <w:rPr>
      <w:sz w:val="16"/>
      <w:szCs w:val="16"/>
    </w:rPr>
  </w:style>
  <w:style w:type="paragraph" w:customStyle="1" w:styleId="37">
    <w:name w:val="修订1"/>
    <w:autoRedefine/>
    <w:hidden/>
    <w:semiHidden/>
    <w:qFormat/>
    <w:uiPriority w:val="99"/>
    <w:rPr>
      <w:rFonts w:ascii="Times New Roman" w:hAnsi="Times New Roman" w:eastAsia="宋体" w:cs="Times New Roman"/>
      <w:kern w:val="2"/>
      <w:sz w:val="21"/>
      <w:lang w:val="en-US" w:eastAsia="zh-CN" w:bidi="ar-SA"/>
    </w:rPr>
  </w:style>
  <w:style w:type="paragraph" w:styleId="38">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9">
    <w:name w:val="标题 3 字符"/>
    <w:basedOn w:val="21"/>
    <w:link w:val="4"/>
    <w:autoRedefine/>
    <w:qFormat/>
    <w:uiPriority w:val="9"/>
    <w:rPr>
      <w:rFonts w:ascii="Calibri" w:hAnsi="Calibri" w:eastAsia="宋体" w:cs="Times New Roman"/>
      <w:b/>
      <w:bCs/>
      <w:sz w:val="32"/>
      <w:szCs w:val="32"/>
    </w:rPr>
  </w:style>
  <w:style w:type="character" w:customStyle="1" w:styleId="40">
    <w:name w:val="页眉 字符"/>
    <w:basedOn w:val="21"/>
    <w:link w:val="13"/>
    <w:autoRedefine/>
    <w:qFormat/>
    <w:uiPriority w:val="99"/>
    <w:rPr>
      <w:rFonts w:ascii="Times New Roman" w:hAnsi="Times New Roman" w:eastAsia="宋体" w:cs="Times New Roman"/>
      <w:sz w:val="18"/>
      <w:szCs w:val="18"/>
    </w:rPr>
  </w:style>
  <w:style w:type="character" w:customStyle="1" w:styleId="41">
    <w:name w:val="纯文本 字符"/>
    <w:basedOn w:val="21"/>
    <w:link w:val="8"/>
    <w:autoRedefine/>
    <w:qFormat/>
    <w:uiPriority w:val="0"/>
    <w:rPr>
      <w:rFonts w:ascii="宋体" w:hAnsi="Courier New" w:eastAsia="宋体" w:cs="Courier New"/>
      <w:szCs w:val="21"/>
    </w:rPr>
  </w:style>
  <w:style w:type="paragraph" w:customStyle="1" w:styleId="42">
    <w:name w:val="修订11"/>
    <w:autoRedefine/>
    <w:hidden/>
    <w:semiHidden/>
    <w:qFormat/>
    <w:uiPriority w:val="99"/>
    <w:rPr>
      <w:rFonts w:ascii="Calibri" w:hAnsi="Calibri" w:eastAsia="宋体" w:cs="Times New Roman"/>
      <w:kern w:val="2"/>
      <w:sz w:val="21"/>
      <w:szCs w:val="22"/>
      <w:lang w:val="en-US" w:eastAsia="zh-CN" w:bidi="ar-SA"/>
    </w:rPr>
  </w:style>
  <w:style w:type="character" w:customStyle="1" w:styleId="43">
    <w:name w:val="批注主题 字符"/>
    <w:basedOn w:val="44"/>
    <w:link w:val="18"/>
    <w:autoRedefine/>
    <w:qFormat/>
    <w:uiPriority w:val="99"/>
    <w:rPr>
      <w:rFonts w:ascii="Calibri" w:hAnsi="Calibri" w:eastAsia="宋体" w:cs="Times New Roman"/>
      <w:b/>
      <w:bCs/>
    </w:rPr>
  </w:style>
  <w:style w:type="character" w:customStyle="1" w:styleId="44">
    <w:name w:val="批注文字 字符"/>
    <w:basedOn w:val="21"/>
    <w:link w:val="6"/>
    <w:autoRedefine/>
    <w:qFormat/>
    <w:uiPriority w:val="99"/>
    <w:rPr>
      <w:rFonts w:ascii="Calibri" w:hAnsi="Calibri" w:eastAsia="宋体" w:cs="Times New Roman"/>
    </w:rPr>
  </w:style>
  <w:style w:type="character" w:customStyle="1" w:styleId="45">
    <w:name w:val="页脚 字符"/>
    <w:basedOn w:val="21"/>
    <w:link w:val="12"/>
    <w:autoRedefine/>
    <w:qFormat/>
    <w:uiPriority w:val="99"/>
    <w:rPr>
      <w:rFonts w:ascii="Times New Roman" w:hAnsi="Times New Roman" w:eastAsia="宋体" w:cs="Times New Roman"/>
      <w:kern w:val="2"/>
      <w:sz w:val="18"/>
    </w:rPr>
  </w:style>
  <w:style w:type="character" w:customStyle="1" w:styleId="46">
    <w:name w:val="正文文本缩进 3 Char1"/>
    <w:basedOn w:val="21"/>
    <w:autoRedefine/>
    <w:qFormat/>
    <w:uiPriority w:val="99"/>
    <w:rPr>
      <w:rFonts w:ascii="Times New Roman" w:hAnsi="Times New Roman" w:eastAsia="宋体" w:cs="Times New Roman"/>
      <w:sz w:val="16"/>
      <w:szCs w:val="16"/>
    </w:rPr>
  </w:style>
  <w:style w:type="paragraph" w:customStyle="1" w:styleId="47">
    <w:name w:val="p0"/>
    <w:basedOn w:val="1"/>
    <w:autoRedefine/>
    <w:qFormat/>
    <w:uiPriority w:val="0"/>
    <w:pPr>
      <w:widowControl/>
    </w:pPr>
    <w:rPr>
      <w:kern w:val="0"/>
      <w:szCs w:val="21"/>
    </w:rPr>
  </w:style>
  <w:style w:type="paragraph" w:customStyle="1" w:styleId="48">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9">
    <w:name w:val="标题 2 字符"/>
    <w:basedOn w:val="21"/>
    <w:link w:val="3"/>
    <w:autoRedefine/>
    <w:qFormat/>
    <w:uiPriority w:val="9"/>
    <w:rPr>
      <w:rFonts w:ascii="Cambria" w:hAnsi="Cambria" w:eastAsia="宋体" w:cs="Times New Roman"/>
      <w:b/>
      <w:bCs/>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3881</Words>
  <Characters>5498</Characters>
  <TotalTime>0</TotalTime>
  <ScaleCrop>false</ScaleCrop>
  <LinksUpToDate>false</LinksUpToDate>
  <CharactersWithSpaces>5667</CharactersWithSpaces>
  <Application>WPS Office_12.1.0.17857_F1E327BC-269C-435d-A152-05C5408002CA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2024-06-11T13:38:00Z</dcterms:created>
  <dc:creator>54866</dc:creator>
  <cp:lastModifiedBy>侯艳冰</cp:lastModifiedBy>
  <cp:lastPrinted>2024-06-12T10:28:00Z</cp:lastPrinted>
  <dcterms:modified xsi:type="dcterms:W3CDTF">2024-09-05T17:19:52Z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480C1C6328C347E49058F9AA897BBB34_12</vt:lpwstr>
  </property>
</Properties>
</file>