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E324C">
      <w:pPr>
        <w:adjustRightInd w:val="0"/>
        <w:snapToGrid w:val="0"/>
        <w:spacing w:line="500" w:lineRule="exact"/>
        <w:jc w:val="center"/>
        <w:rPr>
          <w:rFonts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10E33821">
      <w:pPr>
        <w:widowControl/>
        <w:snapToGrid w:val="0"/>
        <w:jc w:val="center"/>
        <w:rPr>
          <w:rFonts w:hint="default" w:ascii="仿宋_GB2312" w:hAnsi="宋体" w:eastAsia="仿宋_GB2312"/>
          <w:b/>
          <w:color w:val="000000"/>
          <w:sz w:val="32"/>
          <w:szCs w:val="32"/>
          <w:highlight w:val="none"/>
          <w:lang w:val="en-US" w:eastAsia="zh-CN"/>
        </w:rPr>
      </w:pPr>
      <w:r>
        <w:rPr>
          <w:rFonts w:hint="eastAsia" w:ascii="仿宋_GB2312" w:hAnsi="宋体" w:eastAsia="仿宋_GB2312"/>
          <w:b/>
          <w:color w:val="000000"/>
          <w:sz w:val="32"/>
          <w:szCs w:val="32"/>
          <w:highlight w:val="none"/>
        </w:rPr>
        <w:t>计算机科学与技术（</w:t>
      </w:r>
      <w:r>
        <w:rPr>
          <w:rFonts w:ascii="仿宋_GB2312" w:hAnsi="宋体" w:eastAsia="仿宋_GB2312"/>
          <w:b/>
          <w:color w:val="000000"/>
          <w:sz w:val="32"/>
          <w:szCs w:val="32"/>
          <w:highlight w:val="none"/>
        </w:rPr>
        <w:t>081200</w:t>
      </w:r>
      <w:r>
        <w:rPr>
          <w:rFonts w:hint="eastAsia" w:ascii="仿宋_GB2312" w:hAnsi="宋体" w:eastAsia="仿宋_GB2312"/>
          <w:b/>
          <w:color w:val="000000"/>
          <w:sz w:val="32"/>
          <w:szCs w:val="32"/>
          <w:highlight w:val="none"/>
        </w:rPr>
        <w:t>）</w:t>
      </w:r>
      <w:r>
        <w:rPr>
          <w:rFonts w:hint="eastAsia" w:ascii="仿宋_GB2312" w:hAnsi="宋体" w:eastAsia="仿宋_GB2312"/>
          <w:b/>
          <w:color w:val="000000"/>
          <w:sz w:val="32"/>
          <w:szCs w:val="32"/>
          <w:highlight w:val="none"/>
          <w:lang w:val="en-US" w:eastAsia="zh-CN"/>
        </w:rPr>
        <w:t>学术学位</w:t>
      </w:r>
    </w:p>
    <w:p w14:paraId="336720EB">
      <w:pPr>
        <w:spacing w:line="300" w:lineRule="auto"/>
        <w:jc w:val="center"/>
        <w:rPr>
          <w:rFonts w:ascii="仿宋_GB2312" w:hAnsi="宋体" w:eastAsia="仿宋_GB2312"/>
          <w:b/>
          <w:color w:val="000000"/>
          <w:sz w:val="32"/>
          <w:szCs w:val="32"/>
          <w:highlight w:val="none"/>
        </w:rPr>
      </w:pPr>
      <w:r>
        <w:rPr>
          <w:rFonts w:eastAsia="仿宋_GB2312"/>
          <w:b/>
          <w:sz w:val="32"/>
          <w:szCs w:val="32"/>
          <w:highlight w:val="none"/>
        </w:rPr>
        <w:t>(</w:t>
      </w:r>
      <w:r>
        <w:rPr>
          <w:rFonts w:hint="eastAsia" w:eastAsia="仿宋_GB2312"/>
          <w:b/>
          <w:sz w:val="32"/>
          <w:szCs w:val="32"/>
          <w:highlight w:val="none"/>
        </w:rPr>
        <w:t>硕博直博</w:t>
      </w:r>
      <w:r>
        <w:rPr>
          <w:rFonts w:eastAsia="仿宋_GB2312"/>
          <w:b/>
          <w:sz w:val="32"/>
          <w:szCs w:val="32"/>
          <w:highlight w:val="none"/>
        </w:rPr>
        <w:t>)</w:t>
      </w:r>
      <w:r>
        <w:rPr>
          <w:rFonts w:hint="eastAsia" w:ascii="仿宋_GB2312" w:hAnsi="宋体" w:eastAsia="仿宋_GB2312"/>
          <w:b/>
          <w:color w:val="000000"/>
          <w:sz w:val="32"/>
          <w:szCs w:val="32"/>
          <w:highlight w:val="none"/>
        </w:rPr>
        <w:t>研究生培养方案</w:t>
      </w:r>
    </w:p>
    <w:p w14:paraId="05673340">
      <w:pPr>
        <w:snapToGrid w:val="0"/>
        <w:spacing w:line="360" w:lineRule="auto"/>
        <w:jc w:val="center"/>
        <w:rPr>
          <w:rFonts w:ascii="仿宋_GB2312" w:hAnsi="宋体" w:eastAsia="仿宋_GB2312"/>
          <w:b/>
          <w:sz w:val="32"/>
          <w:szCs w:val="32"/>
          <w:highlight w:val="none"/>
        </w:rPr>
      </w:pPr>
      <w:r>
        <w:rPr>
          <w:rFonts w:hint="eastAsia" w:ascii="仿宋_GB2312" w:eastAsia="仿宋_GB2312"/>
          <w:color w:val="000000"/>
          <w:sz w:val="32"/>
          <w:szCs w:val="28"/>
          <w:highlight w:val="none"/>
        </w:rPr>
        <w:t>（从</w:t>
      </w:r>
      <w:r>
        <w:rPr>
          <w:rFonts w:ascii="仿宋_GB2312" w:eastAsia="仿宋_GB2312"/>
          <w:color w:val="000000"/>
          <w:sz w:val="32"/>
          <w:szCs w:val="28"/>
          <w:highlight w:val="none"/>
        </w:rPr>
        <w:t>202</w:t>
      </w:r>
      <w:r>
        <w:rPr>
          <w:rFonts w:hint="eastAsia" w:ascii="仿宋_GB2312" w:eastAsia="仿宋_GB2312"/>
          <w:color w:val="000000"/>
          <w:sz w:val="32"/>
          <w:szCs w:val="28"/>
          <w:highlight w:val="none"/>
          <w:lang w:val="en-US" w:eastAsia="zh-CN"/>
        </w:rPr>
        <w:t>4</w:t>
      </w:r>
      <w:r>
        <w:rPr>
          <w:rFonts w:hint="eastAsia" w:ascii="仿宋_GB2312" w:eastAsia="仿宋_GB2312"/>
          <w:color w:val="000000"/>
          <w:sz w:val="32"/>
          <w:szCs w:val="28"/>
          <w:highlight w:val="none"/>
        </w:rPr>
        <w:t>年级开始执行）</w:t>
      </w:r>
    </w:p>
    <w:p w14:paraId="20F9B0A1">
      <w:pPr>
        <w:spacing w:line="500" w:lineRule="exact"/>
        <w:rPr>
          <w:rFonts w:hint="eastAsia" w:ascii="仿宋_GB2312" w:hAnsi="宋体" w:eastAsia="仿宋_GB2312"/>
          <w:b/>
          <w:sz w:val="32"/>
          <w:szCs w:val="32"/>
          <w:highlight w:val="none"/>
        </w:rPr>
      </w:pPr>
      <w:r>
        <w:rPr>
          <w:rFonts w:hint="eastAsia" w:ascii="仿宋_GB2312" w:hAnsi="宋体" w:eastAsia="仿宋_GB2312"/>
          <w:b/>
          <w:sz w:val="32"/>
          <w:szCs w:val="32"/>
          <w:highlight w:val="none"/>
        </w:rPr>
        <w:t>一、学科介绍</w:t>
      </w:r>
    </w:p>
    <w:p w14:paraId="202444A8">
      <w:pPr>
        <w:spacing w:line="500" w:lineRule="exact"/>
        <w:ind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0D68DC76">
      <w:pPr>
        <w:spacing w:line="500" w:lineRule="exact"/>
        <w:ind w:firstLine="560" w:firstLineChars="200"/>
        <w:rPr>
          <w:rFonts w:hint="eastAsia" w:ascii="仿宋_GB2312" w:hAnsi="仿宋" w:eastAsia="仿宋_GB2312"/>
          <w:sz w:val="28"/>
          <w:szCs w:val="28"/>
          <w:highlight w:val="none"/>
        </w:rPr>
      </w:pPr>
    </w:p>
    <w:p w14:paraId="428886BC">
      <w:pPr>
        <w:numPr>
          <w:ilvl w:val="0"/>
          <w:numId w:val="1"/>
        </w:numPr>
        <w:spacing w:line="500" w:lineRule="exact"/>
        <w:rPr>
          <w:rFonts w:hint="eastAsia" w:ascii="仿宋_GB2312" w:hAnsi="宋体" w:eastAsia="仿宋_GB2312"/>
          <w:b/>
          <w:sz w:val="32"/>
          <w:szCs w:val="32"/>
          <w:highlight w:val="none"/>
        </w:rPr>
      </w:pPr>
      <w:r>
        <w:rPr>
          <w:rFonts w:hint="eastAsia" w:ascii="仿宋_GB2312" w:hAnsi="宋体" w:eastAsia="仿宋_GB2312"/>
          <w:b/>
          <w:sz w:val="32"/>
          <w:szCs w:val="32"/>
          <w:highlight w:val="none"/>
        </w:rPr>
        <w:t>培养目标</w:t>
      </w:r>
    </w:p>
    <w:p w14:paraId="2C956B61">
      <w:pPr>
        <w:adjustRightInd w:val="0"/>
        <w:snapToGrid w:val="0"/>
        <w:spacing w:line="500" w:lineRule="exact"/>
        <w:ind w:firstLine="560" w:firstLineChars="200"/>
        <w:jc w:val="left"/>
        <w:rPr>
          <w:rFonts w:hint="eastAsia" w:ascii="仿宋_GB2312" w:hAnsi="宋体" w:eastAsia="仿宋_GB2312"/>
          <w:b/>
          <w:sz w:val="32"/>
          <w:szCs w:val="32"/>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0C9CBD89">
      <w:pPr>
        <w:adjustRightInd w:val="0"/>
        <w:snapToGrid w:val="0"/>
        <w:spacing w:line="500" w:lineRule="exact"/>
        <w:ind w:firstLine="560" w:firstLineChars="200"/>
        <w:jc w:val="left"/>
        <w:rPr>
          <w:rFonts w:ascii="仿宋_GB2312" w:hAnsi="仿宋" w:eastAsia="仿宋_GB2312"/>
          <w:sz w:val="28"/>
          <w:szCs w:val="28"/>
          <w:highlight w:val="none"/>
        </w:rPr>
      </w:pPr>
      <w:r>
        <w:rPr>
          <w:rFonts w:hint="eastAsia" w:ascii="仿宋_GB2312" w:hAnsi="仿宋" w:eastAsia="仿宋_GB2312"/>
          <w:sz w:val="28"/>
          <w:szCs w:val="28"/>
          <w:highlight w:val="none"/>
        </w:rPr>
        <w:t>本专业培养德、智、体全面发展的高级计算机科学与技术理论及应用研究人才，要求学生进一步学习与掌握马列主义、毛泽东思想和邓小平理论，热爱祖国，遵纪守法，品德良好；系统深入地掌握计算机软件、计算机科学理论和有关计算机系统结构、计算机应用技术方面的专业知识；能熟练地运用科学的研究方法，独立在该领域从事创造性的理论及应用研究；至少能用一种外语熟练地阅读专业书刊；有严谨求实的科研作风，能胜任高等院校、科研单位、及政府部门的教学、科研和管理工作。</w:t>
      </w:r>
      <w:r>
        <w:rPr>
          <w:rFonts w:ascii="仿宋_GB2312" w:hAnsi="仿宋" w:eastAsia="仿宋_GB2312"/>
          <w:sz w:val="28"/>
          <w:szCs w:val="28"/>
          <w:highlight w:val="none"/>
        </w:rPr>
        <w:t xml:space="preserve"> </w:t>
      </w:r>
    </w:p>
    <w:p w14:paraId="4CBF5B6C">
      <w:pPr>
        <w:adjustRightInd w:val="0"/>
        <w:snapToGrid w:val="0"/>
        <w:spacing w:line="500" w:lineRule="exact"/>
        <w:ind w:firstLine="560" w:firstLineChars="200"/>
        <w:jc w:val="left"/>
        <w:rPr>
          <w:rFonts w:ascii="仿宋_GB2312" w:hAnsi="华文仿宋" w:eastAsia="仿宋_GB2312"/>
          <w:sz w:val="28"/>
          <w:szCs w:val="28"/>
          <w:highlight w:val="none"/>
        </w:rPr>
      </w:pPr>
    </w:p>
    <w:p w14:paraId="18A879AA">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559535B6">
      <w:pPr>
        <w:spacing w:line="500" w:lineRule="exact"/>
        <w:ind w:firstLine="420"/>
        <w:rPr>
          <w:rFonts w:ascii="仿宋_GB2312" w:hAnsi="宋体" w:eastAsia="仿宋_GB2312"/>
          <w:sz w:val="28"/>
          <w:szCs w:val="28"/>
          <w:highlight w:val="none"/>
        </w:rPr>
      </w:pPr>
      <w:r>
        <w:rPr>
          <w:rFonts w:hint="eastAsia" w:ascii="仿宋_GB2312" w:hAnsi="宋体" w:eastAsia="仿宋_GB2312"/>
          <w:b/>
          <w:sz w:val="28"/>
          <w:szCs w:val="28"/>
          <w:highlight w:val="none"/>
        </w:rPr>
        <w:t>硕博连读生</w:t>
      </w:r>
      <w:r>
        <w:rPr>
          <w:rFonts w:hint="eastAsia" w:ascii="仿宋_GB2312" w:hAnsi="宋体" w:eastAsia="仿宋_GB2312"/>
          <w:sz w:val="28"/>
          <w:szCs w:val="28"/>
          <w:highlight w:val="none"/>
        </w:rPr>
        <w:t>：</w:t>
      </w:r>
      <w:r>
        <w:rPr>
          <w:rFonts w:hint="eastAsia" w:ascii="仿宋_GB2312" w:hAnsi="仿宋" w:eastAsia="仿宋_GB2312"/>
          <w:sz w:val="28"/>
          <w:szCs w:val="28"/>
          <w:highlight w:val="none"/>
        </w:rPr>
        <w:t>由硕士研究生直接转读博士研究生，学制五年，其中硕士阶段两年，博士阶段三年。</w:t>
      </w:r>
    </w:p>
    <w:p w14:paraId="082760B7">
      <w:pPr>
        <w:spacing w:line="500" w:lineRule="exact"/>
        <w:ind w:firstLine="420"/>
        <w:rPr>
          <w:rFonts w:hint="eastAsia" w:ascii="仿宋_GB2312" w:hAnsi="仿宋" w:eastAsia="仿宋_GB2312"/>
          <w:sz w:val="28"/>
          <w:szCs w:val="28"/>
          <w:highlight w:val="none"/>
        </w:rPr>
      </w:pPr>
      <w:r>
        <w:rPr>
          <w:rFonts w:hint="eastAsia" w:ascii="仿宋_GB2312" w:hAnsi="宋体" w:eastAsia="仿宋_GB2312"/>
          <w:b/>
          <w:sz w:val="28"/>
          <w:szCs w:val="28"/>
          <w:highlight w:val="none"/>
        </w:rPr>
        <w:t>直博生</w:t>
      </w:r>
      <w:r>
        <w:rPr>
          <w:rFonts w:hint="eastAsia" w:ascii="仿宋_GB2312" w:hAnsi="宋体" w:eastAsia="仿宋_GB2312"/>
          <w:sz w:val="28"/>
          <w:szCs w:val="28"/>
          <w:highlight w:val="none"/>
        </w:rPr>
        <w:t>：</w:t>
      </w:r>
      <w:r>
        <w:rPr>
          <w:rFonts w:hint="eastAsia" w:ascii="仿宋_GB2312" w:hAnsi="仿宋" w:eastAsia="仿宋_GB2312"/>
          <w:sz w:val="28"/>
          <w:szCs w:val="28"/>
          <w:highlight w:val="none"/>
        </w:rPr>
        <w:t>学制</w:t>
      </w:r>
      <w:r>
        <w:rPr>
          <w:rFonts w:hint="eastAsia" w:ascii="仿宋_GB2312" w:hAnsi="仿宋" w:eastAsia="仿宋_GB2312"/>
          <w:sz w:val="28"/>
          <w:szCs w:val="28"/>
          <w:highlight w:val="none"/>
          <w:lang w:val="en-US" w:eastAsia="zh-CN"/>
        </w:rPr>
        <w:t>五</w:t>
      </w:r>
      <w:r>
        <w:rPr>
          <w:rFonts w:hint="eastAsia" w:ascii="仿宋_GB2312" w:hAnsi="仿宋" w:eastAsia="仿宋_GB2312"/>
          <w:sz w:val="28"/>
          <w:szCs w:val="28"/>
          <w:highlight w:val="none"/>
        </w:rPr>
        <w:t>年。</w:t>
      </w:r>
    </w:p>
    <w:p w14:paraId="0DE1FADB">
      <w:pPr>
        <w:spacing w:line="500" w:lineRule="exact"/>
        <w:ind w:firstLine="420"/>
        <w:rPr>
          <w:rFonts w:ascii="仿宋_GB2312" w:hAnsi="仿宋" w:eastAsia="仿宋_GB2312"/>
          <w:sz w:val="28"/>
          <w:szCs w:val="28"/>
          <w:highlight w:val="none"/>
        </w:rPr>
      </w:pPr>
      <w:r>
        <w:rPr>
          <w:rFonts w:hint="eastAsia" w:ascii="仿宋_GB2312" w:hAnsi="仿宋" w:eastAsia="仿宋_GB2312"/>
          <w:sz w:val="28"/>
          <w:szCs w:val="28"/>
          <w:highlight w:val="none"/>
          <w:lang w:val="en-US" w:eastAsia="zh-CN"/>
        </w:rPr>
        <w:t>按照《中山大学研究生学籍管理规定》中规定的学制和学习年限执行。</w:t>
      </w:r>
    </w:p>
    <w:p w14:paraId="10CC4649">
      <w:pPr>
        <w:spacing w:line="500" w:lineRule="exact"/>
        <w:rPr>
          <w:rFonts w:ascii="仿宋_GB2312" w:hAnsi="宋体" w:eastAsia="仿宋_GB2312"/>
          <w:b/>
          <w:sz w:val="32"/>
          <w:szCs w:val="32"/>
          <w:highlight w:val="none"/>
        </w:rPr>
      </w:pPr>
    </w:p>
    <w:p w14:paraId="3B0E6373">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四、</w:t>
      </w:r>
      <w:r>
        <w:rPr>
          <w:rFonts w:hint="eastAsia" w:ascii="仿宋_GB2312" w:hAnsi="宋体" w:eastAsia="仿宋_GB2312"/>
          <w:b/>
          <w:sz w:val="32"/>
          <w:szCs w:val="32"/>
          <w:highlight w:val="none"/>
          <w:lang w:val="en-US" w:eastAsia="zh-CN"/>
        </w:rPr>
        <w:t>学科特色</w:t>
      </w:r>
      <w:r>
        <w:rPr>
          <w:rFonts w:hint="eastAsia" w:ascii="仿宋_GB2312" w:hAnsi="宋体" w:eastAsia="仿宋_GB2312"/>
          <w:b/>
          <w:sz w:val="32"/>
          <w:szCs w:val="32"/>
          <w:highlight w:val="none"/>
        </w:rPr>
        <w:t>方向</w:t>
      </w:r>
    </w:p>
    <w:p w14:paraId="5A6BE5D6">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rPr>
        <w:t>本方案适用于以下学科方向：</w:t>
      </w:r>
    </w:p>
    <w:p w14:paraId="0E30473D">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33196563">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69259072">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5D4F55AC">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72BE624F">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65178283">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74B20D40">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4199BE2F">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145219E8">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07AC7AA5">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34995CB6">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08095F91">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机器学习、计算智能、自然语言处理</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计算机视觉、智能感知与探测、智能决策与控制等。</w:t>
      </w:r>
    </w:p>
    <w:p w14:paraId="273B3018">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0CCFA754">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3871601A">
      <w:pPr>
        <w:spacing w:line="500" w:lineRule="exact"/>
        <w:ind w:firstLine="560" w:firstLineChars="200"/>
        <w:rPr>
          <w:rFonts w:hint="eastAsia" w:ascii="仿宋_GB2312" w:hAnsi="宋体" w:eastAsia="仿宋_GB2312"/>
          <w:sz w:val="28"/>
          <w:szCs w:val="28"/>
          <w:highlight w:val="none"/>
          <w:lang w:val="en-US" w:eastAsia="zh-CN"/>
        </w:rPr>
      </w:pPr>
    </w:p>
    <w:p w14:paraId="0C73C20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2B7F5845">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20D2514C">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、实行以科研为主导的导师或导师组负责制。导师应有适于培养硕士生的研究课题和充足的研究经费。导师应与硕士生定期交流，关心硕士生的思想品德、学术进展和综合素质。促进硕士生德、智、体全面发展。</w:t>
      </w:r>
    </w:p>
    <w:p w14:paraId="01813AC6">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研究生的培养质量，建立规范化的学术交流和学术报告制度，按期检查培养环节的完成情况。</w:t>
      </w:r>
    </w:p>
    <w:p w14:paraId="6E0661EF">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60</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60</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34B89206">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、硕士和博士研究生课程考试成绩未达到合格要求者，根据课程情况可申请补考或重修，具体考核细则按《中山大学硕士研究生学业考核管理规定》执行。</w:t>
      </w:r>
    </w:p>
    <w:p w14:paraId="60D9CA2F">
      <w:pPr>
        <w:adjustRightInd w:val="0"/>
        <w:snapToGrid w:val="0"/>
        <w:spacing w:line="500" w:lineRule="exact"/>
        <w:ind w:firstLine="560" w:firstLineChars="200"/>
        <w:rPr>
          <w:rFonts w:hint="eastAsia"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、符合研究生院免修规定的研究生可免修英语。</w:t>
      </w:r>
    </w:p>
    <w:p w14:paraId="173C961D">
      <w:pPr>
        <w:adjustRightInd w:val="0"/>
        <w:snapToGrid w:val="0"/>
        <w:spacing w:line="500" w:lineRule="exact"/>
        <w:ind w:firstLine="560" w:firstLineChars="200"/>
        <w:rPr>
          <w:rFonts w:hint="eastAsia" w:ascii="仿宋_GB2312" w:hAnsi="宋体" w:eastAsia="仿宋_GB2312"/>
          <w:sz w:val="28"/>
          <w:szCs w:val="28"/>
          <w:highlight w:val="none"/>
        </w:rPr>
      </w:pPr>
    </w:p>
    <w:p w14:paraId="7CCB37AC">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0D03F4F8">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1D849882">
      <w:pPr>
        <w:adjustRightInd w:val="0"/>
        <w:snapToGrid w:val="0"/>
        <w:spacing w:line="500" w:lineRule="exact"/>
        <w:ind w:firstLine="560" w:firstLineChars="200"/>
        <w:jc w:val="left"/>
        <w:rPr>
          <w:rFonts w:hint="eastAsia" w:eastAsia="仿宋_GB2312"/>
          <w:color w:val="000000" w:themeColor="text1"/>
          <w:sz w:val="28"/>
          <w:szCs w:val="28"/>
          <w:highlight w:val="none"/>
          <w:lang w:val="en-US" w:eastAsia="zh-CN"/>
          <w14:textFill>
            <w14:solidFill>
              <w14:schemeClr w14:val="tx1"/>
            </w14:solidFill>
          </w14:textFill>
        </w:rPr>
      </w:pPr>
      <w:r>
        <w:rPr>
          <w:rFonts w:eastAsia="仿宋_GB2312"/>
          <w:color w:val="000000" w:themeColor="text1"/>
          <w:sz w:val="28"/>
          <w:szCs w:val="28"/>
          <w:highlight w:val="none"/>
          <w14:textFill>
            <w14:solidFill>
              <w14:schemeClr w14:val="tx1"/>
            </w14:solidFill>
          </w14:textFill>
        </w:rPr>
        <w:t>连贯培养研究生总学分不少于40学分，必修课不少于25学分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其中硕士专业必修课不少于10学分，博士专业必修课不少于10学分，多选不限。</w:t>
      </w:r>
    </w:p>
    <w:p w14:paraId="21EFD12F">
      <w:pPr>
        <w:numPr>
          <w:ilvl w:val="0"/>
          <w:numId w:val="2"/>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2049B364">
      <w:pPr>
        <w:numPr>
          <w:ilvl w:val="0"/>
          <w:numId w:val="0"/>
        </w:numPr>
        <w:spacing w:line="500" w:lineRule="exact"/>
        <w:rPr>
          <w:rFonts w:hint="default" w:eastAsia="仿宋_GB2312"/>
          <w:b/>
          <w:bCs/>
          <w:color w:val="000000" w:themeColor="text1"/>
          <w:sz w:val="24"/>
          <w:szCs w:val="24"/>
          <w:highlight w:val="none"/>
          <w:lang w:val="en-US" w:eastAsia="zh-CN"/>
          <w14:textFill>
            <w14:solidFill>
              <w14:schemeClr w14:val="tx1"/>
            </w14:solidFill>
          </w14:textFill>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连贯培养博士生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21"/>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57"/>
        <w:gridCol w:w="2928"/>
        <w:gridCol w:w="600"/>
        <w:gridCol w:w="464"/>
        <w:gridCol w:w="1586"/>
        <w:gridCol w:w="1169"/>
      </w:tblGrid>
      <w:tr w14:paraId="65DF3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14:paraId="304D59E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680" w:type="dxa"/>
            <w:vAlign w:val="center"/>
          </w:tcPr>
          <w:p w14:paraId="72A6DF7E">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357" w:type="dxa"/>
            <w:vAlign w:val="center"/>
          </w:tcPr>
          <w:p w14:paraId="2350BF6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2928" w:type="dxa"/>
            <w:vAlign w:val="center"/>
          </w:tcPr>
          <w:p w14:paraId="277A32E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600" w:type="dxa"/>
            <w:vAlign w:val="center"/>
          </w:tcPr>
          <w:p w14:paraId="312361D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64" w:type="dxa"/>
            <w:vAlign w:val="center"/>
          </w:tcPr>
          <w:p w14:paraId="56869B5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1586" w:type="dxa"/>
            <w:vAlign w:val="center"/>
          </w:tcPr>
          <w:p w14:paraId="3175E89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169" w:type="dxa"/>
            <w:vAlign w:val="center"/>
          </w:tcPr>
          <w:p w14:paraId="676D5C6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5659B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680" w:type="dxa"/>
            <w:vMerge w:val="restart"/>
            <w:textDirection w:val="tbRlV"/>
            <w:vAlign w:val="center"/>
          </w:tcPr>
          <w:p w14:paraId="5F2A4536">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不少于25学分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680" w:type="dxa"/>
            <w:vMerge w:val="restart"/>
            <w:textDirection w:val="tbRlV"/>
            <w:vAlign w:val="center"/>
          </w:tcPr>
          <w:p w14:paraId="36D21AEB">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5学分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357" w:type="dxa"/>
            <w:vAlign w:val="center"/>
          </w:tcPr>
          <w:p w14:paraId="6027C19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MAR5001</w:t>
            </w:r>
          </w:p>
        </w:tc>
        <w:tc>
          <w:tcPr>
            <w:tcW w:w="2928" w:type="dxa"/>
            <w:vAlign w:val="center"/>
          </w:tcPr>
          <w:p w14:paraId="54DC6BAF">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新时代中国特色社会主义理论与实践</w:t>
            </w:r>
            <w:r>
              <w:rPr>
                <w:rFonts w:eastAsia="仿宋_GB2312"/>
                <w:color w:val="000000" w:themeColor="text1"/>
                <w:sz w:val="18"/>
                <w:szCs w:val="18"/>
                <w:highlight w:val="none"/>
                <w14:textFill>
                  <w14:solidFill>
                    <w14:schemeClr w14:val="tx1"/>
                  </w14:solidFill>
                </w14:textFill>
              </w:rPr>
              <w:t>Theory and Practice of Socialism with Chinese Characteristics for a New Era</w:t>
            </w:r>
          </w:p>
        </w:tc>
        <w:tc>
          <w:tcPr>
            <w:tcW w:w="600" w:type="dxa"/>
            <w:vAlign w:val="center"/>
          </w:tcPr>
          <w:p w14:paraId="7887ECB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26A8A2E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4706ADE7">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169" w:type="dxa"/>
            <w:vAlign w:val="center"/>
          </w:tcPr>
          <w:p w14:paraId="42DD05C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B06B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680" w:type="dxa"/>
            <w:vMerge w:val="continue"/>
            <w:textDirection w:val="tbRlV"/>
            <w:vAlign w:val="center"/>
          </w:tcPr>
          <w:p w14:paraId="62C3B12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7F06E6D5">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3076D33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MAR5002</w:t>
            </w:r>
          </w:p>
        </w:tc>
        <w:tc>
          <w:tcPr>
            <w:tcW w:w="2928" w:type="dxa"/>
            <w:vAlign w:val="center"/>
          </w:tcPr>
          <w:p w14:paraId="11ADA6D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自然辩证法概论Dialectics of Nature</w:t>
            </w:r>
          </w:p>
        </w:tc>
        <w:tc>
          <w:tcPr>
            <w:tcW w:w="600" w:type="dxa"/>
            <w:vAlign w:val="center"/>
          </w:tcPr>
          <w:p w14:paraId="5326241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64" w:type="dxa"/>
            <w:vAlign w:val="center"/>
          </w:tcPr>
          <w:p w14:paraId="491A149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1586" w:type="dxa"/>
            <w:vAlign w:val="center"/>
          </w:tcPr>
          <w:p w14:paraId="748110E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169" w:type="dxa"/>
            <w:vMerge w:val="restart"/>
            <w:vAlign w:val="center"/>
          </w:tcPr>
          <w:p w14:paraId="4760608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二选一</w:t>
            </w:r>
          </w:p>
        </w:tc>
      </w:tr>
      <w:tr w14:paraId="37BE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680" w:type="dxa"/>
            <w:vMerge w:val="continue"/>
            <w:textDirection w:val="tbRlV"/>
            <w:vAlign w:val="center"/>
          </w:tcPr>
          <w:p w14:paraId="16986F2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153A4DCD">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DC3ED4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MAR5003</w:t>
            </w:r>
          </w:p>
        </w:tc>
        <w:tc>
          <w:tcPr>
            <w:tcW w:w="2928" w:type="dxa"/>
            <w:vAlign w:val="center"/>
          </w:tcPr>
          <w:p w14:paraId="731D5F8D">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马克思主义与社会科学方法论Marxism and The Methodology of Social Science</w:t>
            </w:r>
          </w:p>
        </w:tc>
        <w:tc>
          <w:tcPr>
            <w:tcW w:w="600" w:type="dxa"/>
            <w:vAlign w:val="center"/>
          </w:tcPr>
          <w:p w14:paraId="4AD2EC4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64" w:type="dxa"/>
            <w:vAlign w:val="center"/>
          </w:tcPr>
          <w:p w14:paraId="4634CD0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1586" w:type="dxa"/>
            <w:vAlign w:val="center"/>
          </w:tcPr>
          <w:p w14:paraId="32800A7B">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169" w:type="dxa"/>
            <w:vMerge w:val="continue"/>
            <w:vAlign w:val="center"/>
          </w:tcPr>
          <w:p w14:paraId="13696784">
            <w:pPr>
              <w:jc w:val="center"/>
              <w:rPr>
                <w:rFonts w:eastAsia="仿宋_GB2312"/>
                <w:color w:val="000000" w:themeColor="text1"/>
                <w:kern w:val="0"/>
                <w:sz w:val="18"/>
                <w:szCs w:val="18"/>
                <w:highlight w:val="none"/>
                <w14:textFill>
                  <w14:solidFill>
                    <w14:schemeClr w14:val="tx1"/>
                  </w14:solidFill>
                </w14:textFill>
              </w:rPr>
            </w:pPr>
          </w:p>
        </w:tc>
      </w:tr>
      <w:tr w14:paraId="46EB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680" w:type="dxa"/>
            <w:vMerge w:val="continue"/>
            <w:textDirection w:val="tbRlV"/>
            <w:vAlign w:val="center"/>
          </w:tcPr>
          <w:p w14:paraId="6D071550">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6B413A59">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25CB8D8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FL5015</w:t>
            </w:r>
          </w:p>
        </w:tc>
        <w:tc>
          <w:tcPr>
            <w:tcW w:w="2928" w:type="dxa"/>
            <w:vAlign w:val="center"/>
          </w:tcPr>
          <w:p w14:paraId="463249E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第一外国语（英语）First Foreign Language</w:t>
            </w:r>
            <w:r>
              <w:rPr>
                <w:rFonts w:hint="eastAsia" w:eastAsia="仿宋_GB2312"/>
                <w:color w:val="000000" w:themeColor="text1"/>
                <w:kern w:val="0"/>
                <w:sz w:val="18"/>
                <w:szCs w:val="18"/>
                <w:highlight w:val="none"/>
                <w14:textFill>
                  <w14:solidFill>
                    <w14:schemeClr w14:val="tx1"/>
                  </w14:solidFill>
                </w14:textFill>
              </w:rPr>
              <w:t xml:space="preserve"> </w:t>
            </w:r>
            <w:r>
              <w:rPr>
                <w:rFonts w:eastAsia="仿宋_GB2312"/>
                <w:color w:val="000000" w:themeColor="text1"/>
                <w:kern w:val="0"/>
                <w:sz w:val="18"/>
                <w:szCs w:val="18"/>
                <w:highlight w:val="none"/>
                <w14:textFill>
                  <w14:solidFill>
                    <w14:schemeClr w14:val="tx1"/>
                  </w14:solidFill>
                </w14:textFill>
              </w:rPr>
              <w:t>(English)</w:t>
            </w:r>
          </w:p>
        </w:tc>
        <w:tc>
          <w:tcPr>
            <w:tcW w:w="600" w:type="dxa"/>
            <w:vAlign w:val="center"/>
          </w:tcPr>
          <w:p w14:paraId="7DD3205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64" w:type="dxa"/>
            <w:vAlign w:val="center"/>
          </w:tcPr>
          <w:p w14:paraId="6CCB86D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586" w:type="dxa"/>
            <w:vAlign w:val="center"/>
          </w:tcPr>
          <w:p w14:paraId="0E540B07">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外国语学院/国际翻译学院</w:t>
            </w:r>
          </w:p>
        </w:tc>
        <w:tc>
          <w:tcPr>
            <w:tcW w:w="1169" w:type="dxa"/>
            <w:vAlign w:val="center"/>
          </w:tcPr>
          <w:p w14:paraId="300CBFE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1A72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textDirection w:val="tbRlV"/>
            <w:vAlign w:val="center"/>
          </w:tcPr>
          <w:p w14:paraId="6913E4E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restart"/>
            <w:textDirection w:val="tbRlV"/>
            <w:vAlign w:val="center"/>
          </w:tcPr>
          <w:p w14:paraId="6342FE50">
            <w:pPr>
              <w:ind w:left="113" w:right="113"/>
              <w:jc w:val="center"/>
              <w:rPr>
                <w:rFonts w:hint="eastAsia" w:eastAsia="仿宋_GB2312"/>
                <w:color w:val="000000" w:themeColor="text1"/>
                <w:kern w:val="0"/>
                <w:sz w:val="15"/>
                <w:szCs w:val="15"/>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专业基础（硕士 不少于 7学分）</w:t>
            </w:r>
          </w:p>
        </w:tc>
        <w:tc>
          <w:tcPr>
            <w:tcW w:w="1357" w:type="dxa"/>
            <w:vAlign w:val="center"/>
          </w:tcPr>
          <w:p w14:paraId="54FE7457">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DCS5709</w:t>
            </w:r>
          </w:p>
        </w:tc>
        <w:tc>
          <w:tcPr>
            <w:tcW w:w="2928" w:type="dxa"/>
            <w:vAlign w:val="center"/>
          </w:tcPr>
          <w:p w14:paraId="3B7F10D1">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学术规范与论文写作</w:t>
            </w:r>
          </w:p>
          <w:p w14:paraId="628987AC">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Academic Norms and Thesis Writing</w:t>
            </w:r>
          </w:p>
        </w:tc>
        <w:tc>
          <w:tcPr>
            <w:tcW w:w="600" w:type="dxa"/>
            <w:vAlign w:val="center"/>
          </w:tcPr>
          <w:p w14:paraId="6F575E5B">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64" w:type="dxa"/>
            <w:vAlign w:val="center"/>
          </w:tcPr>
          <w:p w14:paraId="65D76D05">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586" w:type="dxa"/>
            <w:vAlign w:val="center"/>
          </w:tcPr>
          <w:p w14:paraId="7FFCE04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规定必修，导师组</w:t>
            </w:r>
          </w:p>
        </w:tc>
        <w:tc>
          <w:tcPr>
            <w:tcW w:w="1169" w:type="dxa"/>
            <w:vAlign w:val="center"/>
          </w:tcPr>
          <w:p w14:paraId="68B3D2A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6C2078D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5834A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textDirection w:val="tbRlV"/>
            <w:vAlign w:val="center"/>
          </w:tcPr>
          <w:p w14:paraId="0CB2F697">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76A93A50">
            <w:pPr>
              <w:ind w:left="113" w:right="113"/>
              <w:jc w:val="center"/>
              <w:rPr>
                <w:rFonts w:eastAsia="仿宋_GB2312"/>
                <w:color w:val="000000" w:themeColor="text1"/>
                <w:kern w:val="0"/>
                <w:sz w:val="15"/>
                <w:szCs w:val="15"/>
                <w:highlight w:val="none"/>
                <w14:textFill>
                  <w14:solidFill>
                    <w14:schemeClr w14:val="tx1"/>
                  </w14:solidFill>
                </w14:textFill>
              </w:rPr>
            </w:pPr>
          </w:p>
        </w:tc>
        <w:tc>
          <w:tcPr>
            <w:tcW w:w="1357" w:type="dxa"/>
            <w:vAlign w:val="center"/>
          </w:tcPr>
          <w:p w14:paraId="0BF7440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DCS5211</w:t>
            </w:r>
          </w:p>
        </w:tc>
        <w:tc>
          <w:tcPr>
            <w:tcW w:w="2928" w:type="dxa"/>
            <w:vAlign w:val="center"/>
          </w:tcPr>
          <w:p w14:paraId="292217E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09A872D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Artificial Intelligence</w:t>
            </w:r>
          </w:p>
        </w:tc>
        <w:tc>
          <w:tcPr>
            <w:tcW w:w="600" w:type="dxa"/>
            <w:vAlign w:val="center"/>
          </w:tcPr>
          <w:p w14:paraId="1FE6B4BC">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64" w:type="dxa"/>
            <w:vAlign w:val="center"/>
          </w:tcPr>
          <w:p w14:paraId="77956F75">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1586" w:type="dxa"/>
            <w:vAlign w:val="center"/>
          </w:tcPr>
          <w:p w14:paraId="2E739FA8">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1169" w:type="dxa"/>
            <w:vAlign w:val="center"/>
          </w:tcPr>
          <w:p w14:paraId="53FAEF91">
            <w:pPr>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p w14:paraId="4BA58543">
            <w:pPr>
              <w:jc w:val="center"/>
              <w:rPr>
                <w:rFonts w:hint="default"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6C4A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textDirection w:val="tbRlV"/>
            <w:vAlign w:val="center"/>
          </w:tcPr>
          <w:p w14:paraId="7DF3B57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09ED6A85">
            <w:pPr>
              <w:ind w:left="113" w:right="113"/>
              <w:jc w:val="center"/>
              <w:rPr>
                <w:rFonts w:eastAsia="仿宋_GB2312"/>
                <w:color w:val="000000" w:themeColor="text1"/>
                <w:kern w:val="0"/>
                <w:sz w:val="15"/>
                <w:szCs w:val="15"/>
                <w:highlight w:val="none"/>
                <w14:textFill>
                  <w14:solidFill>
                    <w14:schemeClr w14:val="tx1"/>
                  </w14:solidFill>
                </w14:textFill>
              </w:rPr>
            </w:pPr>
          </w:p>
        </w:tc>
        <w:tc>
          <w:tcPr>
            <w:tcW w:w="1357" w:type="dxa"/>
            <w:vAlign w:val="center"/>
          </w:tcPr>
          <w:p w14:paraId="7257039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DCS5718</w:t>
            </w:r>
          </w:p>
        </w:tc>
        <w:tc>
          <w:tcPr>
            <w:tcW w:w="2928" w:type="dxa"/>
            <w:vAlign w:val="center"/>
          </w:tcPr>
          <w:p w14:paraId="2331B82E">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3715E98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eastAsia="仿宋_GB2312"/>
                <w:color w:val="000000" w:themeColor="text1"/>
                <w:kern w:val="0"/>
                <w:sz w:val="18"/>
                <w:szCs w:val="18"/>
                <w:highlight w:val="none"/>
                <w14:textFill>
                  <w14:solidFill>
                    <w14:schemeClr w14:val="tx1"/>
                  </w14:solidFill>
                </w14:textFill>
              </w:rPr>
              <w:t>Engineering Mathematics</w:t>
            </w:r>
          </w:p>
        </w:tc>
        <w:tc>
          <w:tcPr>
            <w:tcW w:w="600" w:type="dxa"/>
            <w:vAlign w:val="center"/>
          </w:tcPr>
          <w:p w14:paraId="672E337E">
            <w:pPr>
              <w:snapToGrid w:val="0"/>
              <w:contextualSpacing/>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64" w:type="dxa"/>
            <w:vAlign w:val="center"/>
          </w:tcPr>
          <w:p w14:paraId="56894BD8">
            <w:pPr>
              <w:snapToGrid w:val="0"/>
              <w:contextualSpacing/>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1586" w:type="dxa"/>
            <w:vAlign w:val="center"/>
          </w:tcPr>
          <w:p w14:paraId="6C26188B">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1169" w:type="dxa"/>
            <w:vAlign w:val="center"/>
          </w:tcPr>
          <w:p w14:paraId="76B70F57">
            <w:pPr>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秋、春</w:t>
            </w:r>
          </w:p>
          <w:p w14:paraId="69F1A3C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（数理课5选1 必选</w:t>
            </w:r>
            <w:bookmarkStart w:id="0" w:name="_GoBack"/>
            <w:bookmarkEnd w:id="0"/>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w:t>
            </w:r>
          </w:p>
        </w:tc>
      </w:tr>
      <w:tr w14:paraId="4A06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6108190A">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1F97C7AB">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E5EA2C8">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DCS57</w:t>
            </w:r>
            <w:r>
              <w:rPr>
                <w:rFonts w:hint="eastAsia" w:eastAsia="仿宋_GB2312"/>
                <w:color w:val="000000" w:themeColor="text1"/>
                <w:kern w:val="0"/>
                <w:sz w:val="18"/>
                <w:szCs w:val="18"/>
                <w:highlight w:val="none"/>
                <w:lang w:val="en-US" w:eastAsia="zh-CN"/>
                <w14:textFill>
                  <w14:solidFill>
                    <w14:schemeClr w14:val="tx1"/>
                  </w14:solidFill>
                </w14:textFill>
              </w:rPr>
              <w:t>08</w:t>
            </w:r>
          </w:p>
        </w:tc>
        <w:tc>
          <w:tcPr>
            <w:tcW w:w="2928" w:type="dxa"/>
            <w:vAlign w:val="center"/>
          </w:tcPr>
          <w:p w14:paraId="61A05581">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学术前沿讲座Ⅰ</w:t>
            </w:r>
          </w:p>
          <w:p w14:paraId="52B6F2D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Ⅰ</w:t>
            </w:r>
          </w:p>
        </w:tc>
        <w:tc>
          <w:tcPr>
            <w:tcW w:w="600" w:type="dxa"/>
            <w:vAlign w:val="center"/>
          </w:tcPr>
          <w:p w14:paraId="373C73FF">
            <w:pPr>
              <w:snapToGrid w:val="0"/>
              <w:contextualSpacing/>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36</w:t>
            </w:r>
          </w:p>
        </w:tc>
        <w:tc>
          <w:tcPr>
            <w:tcW w:w="464" w:type="dxa"/>
            <w:vAlign w:val="center"/>
          </w:tcPr>
          <w:p w14:paraId="26A2A65A">
            <w:pPr>
              <w:snapToGrid w:val="0"/>
              <w:contextualSpacing/>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2</w:t>
            </w:r>
          </w:p>
        </w:tc>
        <w:tc>
          <w:tcPr>
            <w:tcW w:w="1586" w:type="dxa"/>
            <w:vAlign w:val="center"/>
          </w:tcPr>
          <w:p w14:paraId="289AC50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导师组</w:t>
            </w:r>
          </w:p>
        </w:tc>
        <w:tc>
          <w:tcPr>
            <w:tcW w:w="1169" w:type="dxa"/>
            <w:vAlign w:val="center"/>
          </w:tcPr>
          <w:p w14:paraId="69B0F5E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2C1D42E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1B86D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28E3B6A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restart"/>
            <w:textDirection w:val="tbRlV"/>
            <w:vAlign w:val="center"/>
          </w:tcPr>
          <w:p w14:paraId="60E1D7A1">
            <w:pPr>
              <w:ind w:left="113" w:right="113"/>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专</w:t>
            </w:r>
            <w:r>
              <w:rPr>
                <w:rFonts w:eastAsia="仿宋_GB2312"/>
                <w:color w:val="000000" w:themeColor="text1"/>
                <w:kern w:val="0"/>
                <w:sz w:val="18"/>
                <w:szCs w:val="18"/>
                <w:highlight w:val="none"/>
                <w14:textFill>
                  <w14:solidFill>
                    <w14:schemeClr w14:val="tx1"/>
                  </w14:solidFill>
                </w14:textFill>
              </w:rPr>
              <w:t>业基础</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 xml:space="preserve"> 博士 不少于5学分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357" w:type="dxa"/>
            <w:vAlign w:val="center"/>
          </w:tcPr>
          <w:p w14:paraId="3055B345">
            <w:pPr>
              <w:jc w:val="center"/>
              <w:rPr>
                <w:rFonts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w:t>
            </w:r>
            <w:r>
              <w:rPr>
                <w:rFonts w:hint="eastAsia" w:eastAsia="仿宋_GB2312"/>
                <w:color w:val="000000" w:themeColor="text1"/>
                <w:kern w:val="0"/>
                <w:sz w:val="18"/>
                <w:szCs w:val="18"/>
                <w:highlight w:val="none"/>
                <w:lang w:val="en-US" w:eastAsia="zh-CN"/>
                <w14:textFill>
                  <w14:solidFill>
                    <w14:schemeClr w14:val="tx1"/>
                  </w14:solidFill>
                </w14:textFill>
              </w:rPr>
              <w:t>7703</w:t>
            </w:r>
          </w:p>
        </w:tc>
        <w:tc>
          <w:tcPr>
            <w:tcW w:w="2928" w:type="dxa"/>
            <w:vAlign w:val="center"/>
          </w:tcPr>
          <w:p w14:paraId="0A5402E5">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学术前沿讲座Ⅱ</w:t>
            </w:r>
          </w:p>
          <w:p w14:paraId="2371DAF9">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Ⅱ</w:t>
            </w:r>
          </w:p>
        </w:tc>
        <w:tc>
          <w:tcPr>
            <w:tcW w:w="600" w:type="dxa"/>
            <w:vAlign w:val="center"/>
          </w:tcPr>
          <w:p w14:paraId="717118AD">
            <w:pPr>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64" w:type="dxa"/>
            <w:vAlign w:val="center"/>
          </w:tcPr>
          <w:p w14:paraId="38BCFF34">
            <w:pPr>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586" w:type="dxa"/>
            <w:vAlign w:val="center"/>
          </w:tcPr>
          <w:p w14:paraId="748C9ACE">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169" w:type="dxa"/>
            <w:vAlign w:val="center"/>
          </w:tcPr>
          <w:p w14:paraId="7C47C0F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4DDFBA3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1C21E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680" w:type="dxa"/>
            <w:vMerge w:val="continue"/>
            <w:textDirection w:val="tbRlV"/>
            <w:vAlign w:val="center"/>
          </w:tcPr>
          <w:p w14:paraId="0D5DABA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16A3AA05">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2D10947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DCS7201</w:t>
            </w:r>
          </w:p>
        </w:tc>
        <w:tc>
          <w:tcPr>
            <w:tcW w:w="2928" w:type="dxa"/>
            <w:vAlign w:val="center"/>
          </w:tcPr>
          <w:p w14:paraId="4F2DC4A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计算复杂性理论</w:t>
            </w:r>
          </w:p>
          <w:p w14:paraId="2B9EBE4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Theory of Computational Complexity</w:t>
            </w:r>
          </w:p>
        </w:tc>
        <w:tc>
          <w:tcPr>
            <w:tcW w:w="600" w:type="dxa"/>
            <w:vAlign w:val="center"/>
          </w:tcPr>
          <w:p w14:paraId="3D2C3755">
            <w:pPr>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64" w:type="dxa"/>
            <w:vAlign w:val="center"/>
          </w:tcPr>
          <w:p w14:paraId="019CD249">
            <w:pPr>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1586" w:type="dxa"/>
            <w:vAlign w:val="center"/>
          </w:tcPr>
          <w:p w14:paraId="453F56B2">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张方国</w:t>
            </w:r>
          </w:p>
        </w:tc>
        <w:tc>
          <w:tcPr>
            <w:tcW w:w="1169" w:type="dxa"/>
            <w:vAlign w:val="center"/>
          </w:tcPr>
          <w:p w14:paraId="02E3B4C0">
            <w:pPr>
              <w:jc w:val="center"/>
              <w:rPr>
                <w:rFonts w:hint="default" w:eastAsia="宋体"/>
                <w:color w:val="000000" w:themeColor="text1"/>
                <w:kern w:val="0"/>
                <w:sz w:val="18"/>
                <w:szCs w:val="18"/>
                <w:highlight w:val="none"/>
                <w:lang w:val="en-US" w:eastAsia="zh-CN"/>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00B97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0871CC1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restart"/>
            <w:textDirection w:val="tbRlV"/>
            <w:vAlign w:val="center"/>
          </w:tcPr>
          <w:p w14:paraId="29131CC9">
            <w:pPr>
              <w:ind w:left="113" w:right="113"/>
              <w:jc w:val="center"/>
              <w:rPr>
                <w:rFonts w:hint="eastAsia" w:eastAsia="宋体"/>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硕士 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357" w:type="dxa"/>
            <w:vAlign w:val="center"/>
          </w:tcPr>
          <w:p w14:paraId="79791E1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DCS5210</w:t>
            </w:r>
          </w:p>
        </w:tc>
        <w:tc>
          <w:tcPr>
            <w:tcW w:w="2928" w:type="dxa"/>
            <w:vAlign w:val="center"/>
          </w:tcPr>
          <w:p w14:paraId="67944F2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2CCD0141">
            <w:pPr>
              <w:jc w:val="left"/>
              <w:rPr>
                <w:rFonts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Algorithms and Programming Techniques</w:t>
            </w:r>
          </w:p>
        </w:tc>
        <w:tc>
          <w:tcPr>
            <w:tcW w:w="600" w:type="dxa"/>
            <w:vAlign w:val="center"/>
          </w:tcPr>
          <w:p w14:paraId="5B5827E0">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64" w:type="dxa"/>
            <w:vAlign w:val="center"/>
          </w:tcPr>
          <w:p w14:paraId="60EA71D8">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1586" w:type="dxa"/>
            <w:vAlign w:val="center"/>
          </w:tcPr>
          <w:p w14:paraId="79485FA9">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default" w:ascii="仿宋" w:hAnsi="仿宋" w:eastAsia="仿宋" w:cs="仿宋"/>
                <w:b w:val="0"/>
                <w:i w:val="0"/>
                <w:strike w:val="0"/>
                <w:color w:val="000000"/>
                <w:spacing w:val="0"/>
                <w:sz w:val="18"/>
                <w:szCs w:val="18"/>
                <w:u w:val="none"/>
                <w:shd w:val="clear" w:color="auto" w:fill="auto"/>
              </w:rPr>
              <w:t>凌应标、戴智明、张子臻、冯剑琳、林瀚</w:t>
            </w:r>
          </w:p>
        </w:tc>
        <w:tc>
          <w:tcPr>
            <w:tcW w:w="1169" w:type="dxa"/>
            <w:vAlign w:val="center"/>
          </w:tcPr>
          <w:p w14:paraId="36441078">
            <w:pPr>
              <w:snapToGrid w:val="0"/>
              <w:contextualSpacing/>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p w14:paraId="086ACE8E">
            <w:pPr>
              <w:snapToGrid w:val="0"/>
              <w:contextualSpacing/>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p w14:paraId="6C7C7547">
            <w:pPr>
              <w:snapToGrid w:val="0"/>
              <w:contextualSpacing/>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p>
        </w:tc>
      </w:tr>
      <w:tr w14:paraId="06717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49FC0A39">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61D3F9D2">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40D57113">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DCS5204</w:t>
            </w:r>
          </w:p>
        </w:tc>
        <w:tc>
          <w:tcPr>
            <w:tcW w:w="2928" w:type="dxa"/>
            <w:vAlign w:val="center"/>
          </w:tcPr>
          <w:p w14:paraId="6BDB457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460FD69F">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Computer Architecture</w:t>
            </w:r>
          </w:p>
        </w:tc>
        <w:tc>
          <w:tcPr>
            <w:tcW w:w="600" w:type="dxa"/>
            <w:vAlign w:val="center"/>
          </w:tcPr>
          <w:p w14:paraId="743794E9">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64" w:type="dxa"/>
            <w:vAlign w:val="center"/>
          </w:tcPr>
          <w:p w14:paraId="7963B666">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1586" w:type="dxa"/>
            <w:vAlign w:val="center"/>
          </w:tcPr>
          <w:p w14:paraId="5E09F2E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169" w:type="dxa"/>
            <w:vAlign w:val="center"/>
          </w:tcPr>
          <w:p w14:paraId="01A58FD5">
            <w:pPr>
              <w:snapToGrid w:val="0"/>
              <w:contextualSpacing/>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p w14:paraId="608FD5DC">
            <w:pPr>
              <w:snapToGrid w:val="0"/>
              <w:contextualSpacing/>
              <w:jc w:val="center"/>
              <w:rPr>
                <w:rFonts w:hint="default"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735B2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textDirection w:val="tbRlV"/>
            <w:vAlign w:val="center"/>
          </w:tcPr>
          <w:p w14:paraId="4BD6C05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3843540B">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1B279D9">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DCS5716</w:t>
            </w:r>
          </w:p>
        </w:tc>
        <w:tc>
          <w:tcPr>
            <w:tcW w:w="2928" w:type="dxa"/>
            <w:vAlign w:val="center"/>
          </w:tcPr>
          <w:p w14:paraId="79BC8F59">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1B07AB0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600" w:type="dxa"/>
            <w:vAlign w:val="center"/>
          </w:tcPr>
          <w:p w14:paraId="0716EF1C">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64" w:type="dxa"/>
            <w:vAlign w:val="center"/>
          </w:tcPr>
          <w:p w14:paraId="74831315">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1586" w:type="dxa"/>
            <w:vAlign w:val="center"/>
          </w:tcPr>
          <w:p w14:paraId="33CFB34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169" w:type="dxa"/>
            <w:vAlign w:val="center"/>
          </w:tcPr>
          <w:p w14:paraId="58F2D21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35AB4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80" w:type="dxa"/>
            <w:vMerge w:val="continue"/>
            <w:textDirection w:val="tbRlV"/>
            <w:vAlign w:val="center"/>
          </w:tcPr>
          <w:p w14:paraId="7E39A9D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restart"/>
            <w:textDirection w:val="tbRlV"/>
            <w:vAlign w:val="center"/>
          </w:tcPr>
          <w:p w14:paraId="2A6A2978">
            <w:pPr>
              <w:ind w:left="113" w:leftChars="0" w:right="113" w:rightChars="0"/>
              <w:jc w:val="center"/>
              <w:rPr>
                <w:rFonts w:eastAsia="仿宋_GB2312"/>
                <w:color w:val="000000" w:themeColor="text1"/>
                <w:kern w:val="0"/>
                <w:sz w:val="15"/>
                <w:szCs w:val="15"/>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博士 建议5学分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357" w:type="dxa"/>
            <w:vAlign w:val="center"/>
          </w:tcPr>
          <w:p w14:paraId="78865E6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DCS5220</w:t>
            </w:r>
          </w:p>
        </w:tc>
        <w:tc>
          <w:tcPr>
            <w:tcW w:w="2928" w:type="dxa"/>
            <w:vAlign w:val="center"/>
          </w:tcPr>
          <w:p w14:paraId="4CE7F6D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12E4AE2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Network and Information Security Technology</w:t>
            </w:r>
          </w:p>
        </w:tc>
        <w:tc>
          <w:tcPr>
            <w:tcW w:w="600" w:type="dxa"/>
            <w:vAlign w:val="center"/>
          </w:tcPr>
          <w:p w14:paraId="228CC376">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64" w:type="dxa"/>
            <w:vAlign w:val="center"/>
          </w:tcPr>
          <w:p w14:paraId="0C9AB0DC">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1586" w:type="dxa"/>
            <w:vAlign w:val="center"/>
          </w:tcPr>
          <w:p w14:paraId="2B1CBE3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169" w:type="dxa"/>
            <w:vAlign w:val="center"/>
          </w:tcPr>
          <w:p w14:paraId="26D215F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09E0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80" w:type="dxa"/>
            <w:vMerge w:val="continue"/>
            <w:textDirection w:val="tbRlV"/>
            <w:vAlign w:val="center"/>
          </w:tcPr>
          <w:p w14:paraId="75A7BAAB">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03EB5D7A">
            <w:pPr>
              <w:ind w:left="113" w:leftChars="0" w:right="113" w:rightChars="0"/>
              <w:jc w:val="center"/>
              <w:rPr>
                <w:rFonts w:eastAsia="仿宋_GB2312"/>
                <w:color w:val="000000" w:themeColor="text1"/>
                <w:kern w:val="0"/>
                <w:sz w:val="15"/>
                <w:szCs w:val="15"/>
                <w:highlight w:val="none"/>
                <w14:textFill>
                  <w14:solidFill>
                    <w14:schemeClr w14:val="tx1"/>
                  </w14:solidFill>
                </w14:textFill>
              </w:rPr>
            </w:pPr>
          </w:p>
        </w:tc>
        <w:tc>
          <w:tcPr>
            <w:tcW w:w="1357" w:type="dxa"/>
            <w:vAlign w:val="center"/>
          </w:tcPr>
          <w:p w14:paraId="3C2CD48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DCS5225</w:t>
            </w:r>
          </w:p>
        </w:tc>
        <w:tc>
          <w:tcPr>
            <w:tcW w:w="2928" w:type="dxa"/>
            <w:vAlign w:val="center"/>
          </w:tcPr>
          <w:p w14:paraId="2D2855C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18D9AD0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600" w:type="dxa"/>
            <w:vAlign w:val="center"/>
          </w:tcPr>
          <w:p w14:paraId="0D2992CA">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36</w:t>
            </w:r>
          </w:p>
        </w:tc>
        <w:tc>
          <w:tcPr>
            <w:tcW w:w="464" w:type="dxa"/>
            <w:vAlign w:val="center"/>
          </w:tcPr>
          <w:p w14:paraId="661F907D">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2</w:t>
            </w:r>
          </w:p>
        </w:tc>
        <w:tc>
          <w:tcPr>
            <w:tcW w:w="1586" w:type="dxa"/>
            <w:vAlign w:val="center"/>
          </w:tcPr>
          <w:p w14:paraId="180764EB">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潘嵘、梁上松、刘玉葆、赖韩江、王昌栋、陈林</w:t>
            </w:r>
          </w:p>
        </w:tc>
        <w:tc>
          <w:tcPr>
            <w:tcW w:w="1169" w:type="dxa"/>
            <w:vAlign w:val="center"/>
          </w:tcPr>
          <w:p w14:paraId="75F578F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35D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80" w:type="dxa"/>
            <w:vMerge w:val="continue"/>
            <w:textDirection w:val="tbRlV"/>
            <w:vAlign w:val="center"/>
          </w:tcPr>
          <w:p w14:paraId="3E33B11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680" w:type="dxa"/>
            <w:vMerge w:val="continue"/>
            <w:textDirection w:val="tbRlV"/>
            <w:vAlign w:val="center"/>
          </w:tcPr>
          <w:p w14:paraId="72795BBD">
            <w:pPr>
              <w:ind w:left="113" w:leftChars="0" w:right="113" w:rightChars="0"/>
              <w:jc w:val="center"/>
              <w:rPr>
                <w:rFonts w:eastAsia="仿宋_GB2312"/>
                <w:color w:val="000000" w:themeColor="text1"/>
                <w:kern w:val="0"/>
                <w:sz w:val="15"/>
                <w:szCs w:val="15"/>
                <w:highlight w:val="none"/>
                <w14:textFill>
                  <w14:solidFill>
                    <w14:schemeClr w14:val="tx1"/>
                  </w14:solidFill>
                </w14:textFill>
              </w:rPr>
            </w:pPr>
          </w:p>
        </w:tc>
        <w:tc>
          <w:tcPr>
            <w:tcW w:w="1357" w:type="dxa"/>
            <w:vAlign w:val="center"/>
          </w:tcPr>
          <w:p w14:paraId="56CD88B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2928" w:type="dxa"/>
            <w:vAlign w:val="center"/>
          </w:tcPr>
          <w:p w14:paraId="18FA7AD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1E71338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Computer Networks</w:t>
            </w:r>
          </w:p>
        </w:tc>
        <w:tc>
          <w:tcPr>
            <w:tcW w:w="600" w:type="dxa"/>
            <w:vAlign w:val="center"/>
          </w:tcPr>
          <w:p w14:paraId="4127B4C5">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64" w:type="dxa"/>
            <w:vAlign w:val="center"/>
          </w:tcPr>
          <w:p w14:paraId="36A6E214">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1586" w:type="dxa"/>
            <w:vAlign w:val="center"/>
          </w:tcPr>
          <w:p w14:paraId="59569F54">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黄倩怡、陈林、谢逸</w:t>
            </w:r>
          </w:p>
        </w:tc>
        <w:tc>
          <w:tcPr>
            <w:tcW w:w="1169" w:type="dxa"/>
            <w:vAlign w:val="center"/>
          </w:tcPr>
          <w:p w14:paraId="3416FB1C">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1500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restart"/>
            <w:vAlign w:val="center"/>
          </w:tcPr>
          <w:p w14:paraId="0DDF5ED8">
            <w:pP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选修课</w:t>
            </w:r>
            <w:r>
              <w:rPr>
                <w:rFonts w:hint="eastAsia" w:eastAsia="仿宋_GB2312"/>
                <w:color w:val="000000" w:themeColor="text1"/>
                <w:kern w:val="0"/>
                <w:sz w:val="16"/>
                <w:szCs w:val="16"/>
                <w:highlight w:val="none"/>
                <w:lang w:val="en-US" w:eastAsia="zh-CN"/>
                <w14:textFill>
                  <w14:solidFill>
                    <w14:schemeClr w14:val="tx1"/>
                  </w14:solidFill>
                </w14:textFill>
              </w:rPr>
              <w:t>（建议15学分）</w:t>
            </w:r>
          </w:p>
        </w:tc>
        <w:tc>
          <w:tcPr>
            <w:tcW w:w="680" w:type="dxa"/>
            <w:vMerge w:val="restart"/>
            <w:vAlign w:val="center"/>
          </w:tcPr>
          <w:p w14:paraId="7F2AD10C">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模块1：理论与算法</w:t>
            </w:r>
          </w:p>
        </w:tc>
        <w:tc>
          <w:tcPr>
            <w:tcW w:w="1357" w:type="dxa"/>
            <w:vAlign w:val="center"/>
          </w:tcPr>
          <w:p w14:paraId="19F950C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2928" w:type="dxa"/>
            <w:vAlign w:val="center"/>
          </w:tcPr>
          <w:p w14:paraId="453338A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38B84B03">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Graph Theory Algorithm</w:t>
            </w:r>
          </w:p>
        </w:tc>
        <w:tc>
          <w:tcPr>
            <w:tcW w:w="600" w:type="dxa"/>
            <w:vAlign w:val="center"/>
          </w:tcPr>
          <w:p w14:paraId="750B1DF2">
            <w:pPr>
              <w:snapToGrid w:val="0"/>
              <w:jc w:val="center"/>
              <w:rPr>
                <w:rFonts w:hint="default"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257927EF">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6D11DEA4">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潘嵘、陈林</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169" w:type="dxa"/>
            <w:vAlign w:val="center"/>
          </w:tcPr>
          <w:p w14:paraId="14EF3F97">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2D638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80" w:type="dxa"/>
            <w:vMerge w:val="continue"/>
            <w:vAlign w:val="center"/>
          </w:tcPr>
          <w:p w14:paraId="222F5790">
            <w:pPr>
              <w:rPr>
                <w:rFonts w:hint="eastAsia" w:eastAsia="仿宋_GB2312"/>
                <w:color w:val="000000" w:themeColor="text1"/>
                <w:kern w:val="0"/>
                <w:sz w:val="18"/>
                <w:szCs w:val="18"/>
                <w:highlight w:val="none"/>
                <w:lang w:val="en-US" w:eastAsia="zh-CN"/>
                <w14:textFill>
                  <w14:solidFill>
                    <w14:schemeClr w14:val="tx1"/>
                  </w14:solidFill>
                </w14:textFill>
              </w:rPr>
            </w:pPr>
          </w:p>
        </w:tc>
        <w:tc>
          <w:tcPr>
            <w:tcW w:w="680" w:type="dxa"/>
            <w:vMerge w:val="continue"/>
            <w:vAlign w:val="center"/>
          </w:tcPr>
          <w:p w14:paraId="1FE95505">
            <w:pPr>
              <w:rPr>
                <w:rFonts w:hint="eastAsia" w:ascii="仿宋" w:hAnsi="仿宋" w:eastAsia="仿宋" w:cs="F4"/>
                <w:color w:val="000000" w:themeColor="text1"/>
                <w:kern w:val="0"/>
                <w:sz w:val="16"/>
                <w:szCs w:val="16"/>
                <w:highlight w:val="none"/>
                <w14:textFill>
                  <w14:solidFill>
                    <w14:schemeClr w14:val="tx1"/>
                  </w14:solidFill>
                </w14:textFill>
              </w:rPr>
            </w:pPr>
          </w:p>
        </w:tc>
        <w:tc>
          <w:tcPr>
            <w:tcW w:w="1357" w:type="dxa"/>
            <w:vAlign w:val="center"/>
          </w:tcPr>
          <w:p w14:paraId="7549C4D8">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2928" w:type="dxa"/>
            <w:vAlign w:val="center"/>
          </w:tcPr>
          <w:p w14:paraId="10CB8897">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14A68EB8">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Numerical Methods for Interface Problems</w:t>
            </w:r>
          </w:p>
        </w:tc>
        <w:tc>
          <w:tcPr>
            <w:tcW w:w="600" w:type="dxa"/>
            <w:vAlign w:val="center"/>
          </w:tcPr>
          <w:p w14:paraId="67243617">
            <w:pPr>
              <w:snapToGrid w:val="0"/>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36</w:t>
            </w:r>
          </w:p>
        </w:tc>
        <w:tc>
          <w:tcPr>
            <w:tcW w:w="464" w:type="dxa"/>
            <w:vAlign w:val="center"/>
          </w:tcPr>
          <w:p w14:paraId="42F3528B">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6553824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169" w:type="dxa"/>
            <w:vAlign w:val="center"/>
          </w:tcPr>
          <w:p w14:paraId="50F76E0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77BFB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36188604">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74F4D2B0">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075A57E">
            <w:pPr>
              <w:pStyle w:val="18"/>
              <w:keepNext w:val="0"/>
              <w:keepLines w:val="0"/>
              <w:widowControl/>
              <w:suppressLineNumbers w:val="0"/>
              <w:spacing w:before="0" w:beforeAutospacing="1" w:after="0" w:afterAutospacing="1"/>
              <w:ind w:right="0" w:firstLine="180" w:firstLineChars="100"/>
              <w:rPr>
                <w:rFonts w:eastAsia="仿宋_GB2312"/>
                <w:color w:val="000000" w:themeColor="text1"/>
                <w:kern w:val="0"/>
                <w:sz w:val="18"/>
                <w:szCs w:val="18"/>
                <w:highlight w:val="none"/>
                <w14:textFill>
                  <w14:solidFill>
                    <w14:schemeClr w14:val="tx1"/>
                  </w14:solidFill>
                </w14:textFill>
              </w:rPr>
            </w:pPr>
            <w: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t>DCS5254</w:t>
            </w:r>
          </w:p>
        </w:tc>
        <w:tc>
          <w:tcPr>
            <w:tcW w:w="2928" w:type="dxa"/>
            <w:vAlign w:val="center"/>
          </w:tcPr>
          <w:p w14:paraId="7E4E414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2D62679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600" w:type="dxa"/>
            <w:vAlign w:val="center"/>
          </w:tcPr>
          <w:p w14:paraId="05810A4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095CC30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232ABEF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169" w:type="dxa"/>
            <w:vAlign w:val="center"/>
          </w:tcPr>
          <w:p w14:paraId="02529FD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B5EE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3C314A51">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4E37F7FA">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D69FD7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2928" w:type="dxa"/>
            <w:vAlign w:val="center"/>
          </w:tcPr>
          <w:p w14:paraId="490FF20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5E60B4FF">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Functions of Complex Variables</w:t>
            </w:r>
          </w:p>
        </w:tc>
        <w:tc>
          <w:tcPr>
            <w:tcW w:w="600" w:type="dxa"/>
            <w:vAlign w:val="center"/>
          </w:tcPr>
          <w:p w14:paraId="0C07819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2A423ABF">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227AC60B">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169" w:type="dxa"/>
            <w:vAlign w:val="center"/>
          </w:tcPr>
          <w:p w14:paraId="6F724A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E3DB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37B5C06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600FEF3E">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15200EE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2928" w:type="dxa"/>
            <w:vAlign w:val="center"/>
          </w:tcPr>
          <w:p w14:paraId="1A90741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0B2F742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600" w:type="dxa"/>
            <w:vAlign w:val="center"/>
          </w:tcPr>
          <w:p w14:paraId="20A626FF">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36</w:t>
            </w:r>
          </w:p>
        </w:tc>
        <w:tc>
          <w:tcPr>
            <w:tcW w:w="464" w:type="dxa"/>
            <w:vAlign w:val="center"/>
          </w:tcPr>
          <w:p w14:paraId="3FE32171">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2</w:t>
            </w:r>
          </w:p>
        </w:tc>
        <w:tc>
          <w:tcPr>
            <w:tcW w:w="1586" w:type="dxa"/>
            <w:vAlign w:val="center"/>
          </w:tcPr>
          <w:p w14:paraId="2FBBD5A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169" w:type="dxa"/>
            <w:vAlign w:val="center"/>
          </w:tcPr>
          <w:p w14:paraId="2838CD71">
            <w:pPr>
              <w:jc w:val="center"/>
              <w:rPr>
                <w:rFonts w:hint="default" w:ascii="仿宋_GB2312" w:hAnsi="宋体" w:eastAsia="仿宋_GB2312"/>
                <w:color w:val="000000" w:themeColor="text1"/>
                <w:sz w:val="16"/>
                <w:szCs w:val="16"/>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04AE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4F3AD526">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202A5BC7">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A08B3E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2928" w:type="dxa"/>
            <w:vAlign w:val="center"/>
          </w:tcPr>
          <w:p w14:paraId="6B6AE3A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07FBECD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Quantum Computation</w:t>
            </w:r>
          </w:p>
        </w:tc>
        <w:tc>
          <w:tcPr>
            <w:tcW w:w="600" w:type="dxa"/>
            <w:vAlign w:val="center"/>
          </w:tcPr>
          <w:p w14:paraId="481A768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36277905">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323881A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169" w:type="dxa"/>
            <w:vAlign w:val="center"/>
          </w:tcPr>
          <w:p w14:paraId="411783F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60E6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DA80FE0">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5936EBD">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D9C84E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2928" w:type="dxa"/>
            <w:vAlign w:val="center"/>
          </w:tcPr>
          <w:p w14:paraId="6E241B5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600" w:type="dxa"/>
            <w:vAlign w:val="center"/>
          </w:tcPr>
          <w:p w14:paraId="7FA81544">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4F6BB238">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5060ACD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169" w:type="dxa"/>
            <w:vAlign w:val="center"/>
          </w:tcPr>
          <w:p w14:paraId="685682B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0F49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4C03599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0EFF50D8">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5BFB5C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2928" w:type="dxa"/>
            <w:vAlign w:val="center"/>
          </w:tcPr>
          <w:p w14:paraId="5C3EB2C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4B4C337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Formal Language and Automata</w:t>
            </w:r>
          </w:p>
        </w:tc>
        <w:tc>
          <w:tcPr>
            <w:tcW w:w="600" w:type="dxa"/>
            <w:vAlign w:val="center"/>
          </w:tcPr>
          <w:p w14:paraId="400BE61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703D04D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7CDB1987">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169" w:type="dxa"/>
            <w:vAlign w:val="center"/>
          </w:tcPr>
          <w:p w14:paraId="694C11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4910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496A5904">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55B6E55A">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126B36B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2928" w:type="dxa"/>
            <w:vAlign w:val="center"/>
          </w:tcPr>
          <w:p w14:paraId="6CAAF69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311DEB3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Computer Program Theory and Modeling</w:t>
            </w:r>
          </w:p>
        </w:tc>
        <w:tc>
          <w:tcPr>
            <w:tcW w:w="600" w:type="dxa"/>
            <w:vAlign w:val="center"/>
          </w:tcPr>
          <w:p w14:paraId="484539D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75C0BAB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2A63FE7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万海</w:t>
            </w:r>
          </w:p>
        </w:tc>
        <w:tc>
          <w:tcPr>
            <w:tcW w:w="1169" w:type="dxa"/>
            <w:vAlign w:val="center"/>
          </w:tcPr>
          <w:p w14:paraId="48C7E97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410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40CBE5B">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40CD9B6">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0CE33B2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715</w:t>
            </w:r>
          </w:p>
        </w:tc>
        <w:tc>
          <w:tcPr>
            <w:tcW w:w="2928" w:type="dxa"/>
            <w:vAlign w:val="center"/>
          </w:tcPr>
          <w:p w14:paraId="2BB158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02BD9F8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Computability and Mathematical Logic</w:t>
            </w:r>
          </w:p>
        </w:tc>
        <w:tc>
          <w:tcPr>
            <w:tcW w:w="600" w:type="dxa"/>
            <w:vAlign w:val="center"/>
          </w:tcPr>
          <w:p w14:paraId="04F78057">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64" w:type="dxa"/>
            <w:vAlign w:val="center"/>
          </w:tcPr>
          <w:p w14:paraId="17A28F54">
            <w:pPr>
              <w:snapToGrid w:val="0"/>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1586" w:type="dxa"/>
            <w:vAlign w:val="center"/>
          </w:tcPr>
          <w:p w14:paraId="7B7F671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169" w:type="dxa"/>
            <w:vAlign w:val="center"/>
          </w:tcPr>
          <w:p w14:paraId="6DA26F9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EB7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02E405C">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1774698">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160BA51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2928" w:type="dxa"/>
            <w:vAlign w:val="center"/>
          </w:tcPr>
          <w:p w14:paraId="72BF77A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005D541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Introduction to Finite Fields</w:t>
            </w:r>
          </w:p>
        </w:tc>
        <w:tc>
          <w:tcPr>
            <w:tcW w:w="600" w:type="dxa"/>
            <w:vAlign w:val="center"/>
          </w:tcPr>
          <w:p w14:paraId="4F73D64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3DE9CC7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12E327E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169" w:type="dxa"/>
            <w:vAlign w:val="center"/>
          </w:tcPr>
          <w:p w14:paraId="3BF7EA8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50B2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4A4241C5">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80" w:type="dxa"/>
            <w:vMerge w:val="restart"/>
            <w:vAlign w:val="center"/>
          </w:tcPr>
          <w:p w14:paraId="34D1DA56">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模块2：系统与网络</w:t>
            </w:r>
          </w:p>
        </w:tc>
        <w:tc>
          <w:tcPr>
            <w:tcW w:w="1357" w:type="dxa"/>
            <w:vAlign w:val="center"/>
          </w:tcPr>
          <w:p w14:paraId="06DABFE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DCS5238</w:t>
            </w:r>
          </w:p>
        </w:tc>
        <w:tc>
          <w:tcPr>
            <w:tcW w:w="2928" w:type="dxa"/>
            <w:vAlign w:val="center"/>
          </w:tcPr>
          <w:p w14:paraId="576A0AB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176B9E8B">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Edge Computing</w:t>
            </w:r>
          </w:p>
        </w:tc>
        <w:tc>
          <w:tcPr>
            <w:tcW w:w="600" w:type="dxa"/>
            <w:vAlign w:val="center"/>
          </w:tcPr>
          <w:p w14:paraId="219160F4">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068AA84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6E7D4E5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169" w:type="dxa"/>
            <w:vAlign w:val="center"/>
          </w:tcPr>
          <w:p w14:paraId="06C7A81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E14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B4C6B94">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80" w:type="dxa"/>
            <w:vMerge w:val="continue"/>
            <w:vAlign w:val="center"/>
          </w:tcPr>
          <w:p w14:paraId="70830339">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357" w:type="dxa"/>
            <w:vAlign w:val="center"/>
          </w:tcPr>
          <w:p w14:paraId="4DE0ECC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DCS5231</w:t>
            </w:r>
          </w:p>
        </w:tc>
        <w:tc>
          <w:tcPr>
            <w:tcW w:w="2928" w:type="dxa"/>
            <w:vAlign w:val="center"/>
          </w:tcPr>
          <w:p w14:paraId="23346C9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076C6F9A">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Big Data Storage Technology</w:t>
            </w:r>
          </w:p>
        </w:tc>
        <w:tc>
          <w:tcPr>
            <w:tcW w:w="600" w:type="dxa"/>
            <w:vAlign w:val="center"/>
          </w:tcPr>
          <w:p w14:paraId="0111271F">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259474F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6B7F220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169" w:type="dxa"/>
            <w:vAlign w:val="center"/>
          </w:tcPr>
          <w:p w14:paraId="1B6244A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8D56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623B0AC">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3E40E772">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5E774EE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DCS5258</w:t>
            </w:r>
          </w:p>
        </w:tc>
        <w:tc>
          <w:tcPr>
            <w:tcW w:w="2928" w:type="dxa"/>
            <w:vAlign w:val="center"/>
          </w:tcPr>
          <w:p w14:paraId="6E7F961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53F495C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Blockchain Principles and Technologies</w:t>
            </w:r>
          </w:p>
        </w:tc>
        <w:tc>
          <w:tcPr>
            <w:tcW w:w="600" w:type="dxa"/>
            <w:vAlign w:val="center"/>
          </w:tcPr>
          <w:p w14:paraId="11E3E005">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2241AD65">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6FEE9D4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169" w:type="dxa"/>
            <w:vAlign w:val="center"/>
          </w:tcPr>
          <w:p w14:paraId="0FFDAE7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9335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650CA9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3D6072D5">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01FC66C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714</w:t>
            </w:r>
          </w:p>
        </w:tc>
        <w:tc>
          <w:tcPr>
            <w:tcW w:w="2928" w:type="dxa"/>
            <w:vAlign w:val="center"/>
          </w:tcPr>
          <w:p w14:paraId="0166C7E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79E1AA9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Wireless Communications and Networking</w:t>
            </w:r>
          </w:p>
        </w:tc>
        <w:tc>
          <w:tcPr>
            <w:tcW w:w="600" w:type="dxa"/>
            <w:vAlign w:val="center"/>
          </w:tcPr>
          <w:p w14:paraId="4101C67E">
            <w:pPr>
              <w:snapToGrid w:val="0"/>
              <w:contextualSpacing/>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64" w:type="dxa"/>
            <w:vAlign w:val="center"/>
          </w:tcPr>
          <w:p w14:paraId="1EAF4F0B">
            <w:pPr>
              <w:snapToGrid w:val="0"/>
              <w:contextualSpacing/>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1586" w:type="dxa"/>
            <w:vAlign w:val="center"/>
          </w:tcPr>
          <w:p w14:paraId="053FF564">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169" w:type="dxa"/>
            <w:vAlign w:val="center"/>
          </w:tcPr>
          <w:p w14:paraId="0EDDFA1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3F5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72E4A111">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25856687">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79D0162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712</w:t>
            </w:r>
          </w:p>
        </w:tc>
        <w:tc>
          <w:tcPr>
            <w:tcW w:w="2928" w:type="dxa"/>
            <w:vAlign w:val="center"/>
          </w:tcPr>
          <w:p w14:paraId="7DD5D28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292558D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Embedded Systems</w:t>
            </w:r>
          </w:p>
        </w:tc>
        <w:tc>
          <w:tcPr>
            <w:tcW w:w="600" w:type="dxa"/>
            <w:vAlign w:val="center"/>
          </w:tcPr>
          <w:p w14:paraId="5D6F3C96">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64" w:type="dxa"/>
            <w:vAlign w:val="center"/>
          </w:tcPr>
          <w:p w14:paraId="185A3A43">
            <w:pPr>
              <w:snapToGrid w:val="0"/>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1586" w:type="dxa"/>
            <w:vAlign w:val="center"/>
          </w:tcPr>
          <w:p w14:paraId="772E4ABD">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169" w:type="dxa"/>
            <w:vAlign w:val="center"/>
          </w:tcPr>
          <w:p w14:paraId="4EDE0B3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CB2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9CFDFC1">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777F9274">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3445C0B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w:t>
            </w:r>
            <w:r>
              <w:rPr>
                <w:rFonts w:hint="eastAsia" w:eastAsia="仿宋_GB2312"/>
                <w:color w:val="000000" w:themeColor="text1"/>
                <w:kern w:val="0"/>
                <w:sz w:val="18"/>
                <w:szCs w:val="18"/>
                <w:highlight w:val="none"/>
                <w:lang w:val="en-US" w:eastAsia="zh-CN"/>
                <w14:textFill>
                  <w14:solidFill>
                    <w14:schemeClr w14:val="tx1"/>
                  </w14:solidFill>
                </w14:textFill>
              </w:rPr>
              <w:t>713</w:t>
            </w:r>
          </w:p>
        </w:tc>
        <w:tc>
          <w:tcPr>
            <w:tcW w:w="2928" w:type="dxa"/>
            <w:vAlign w:val="center"/>
          </w:tcPr>
          <w:p w14:paraId="15F8827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0FA6115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Distributed Systems</w:t>
            </w:r>
          </w:p>
        </w:tc>
        <w:tc>
          <w:tcPr>
            <w:tcW w:w="600" w:type="dxa"/>
            <w:vAlign w:val="center"/>
          </w:tcPr>
          <w:p w14:paraId="08089B76">
            <w:pPr>
              <w:snapToGrid w:val="0"/>
              <w:contextualSpacing/>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64" w:type="dxa"/>
            <w:vAlign w:val="center"/>
          </w:tcPr>
          <w:p w14:paraId="2BEC42C8">
            <w:pPr>
              <w:snapToGrid w:val="0"/>
              <w:contextualSpacing/>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1586" w:type="dxa"/>
            <w:vAlign w:val="center"/>
          </w:tcPr>
          <w:p w14:paraId="72B84DD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陈鹏飞</w:t>
            </w:r>
          </w:p>
        </w:tc>
        <w:tc>
          <w:tcPr>
            <w:tcW w:w="1169" w:type="dxa"/>
            <w:vAlign w:val="center"/>
          </w:tcPr>
          <w:p w14:paraId="7D25CC8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FF61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7CC723E3">
            <w:pPr>
              <w:rPr>
                <w:rFonts w:eastAsia="仿宋_GB2312"/>
                <w:color w:val="000000" w:themeColor="text1"/>
                <w:kern w:val="0"/>
                <w:sz w:val="18"/>
                <w:szCs w:val="18"/>
                <w:highlight w:val="none"/>
                <w14:textFill>
                  <w14:solidFill>
                    <w14:schemeClr w14:val="tx1"/>
                  </w14:solidFill>
                </w14:textFill>
              </w:rPr>
            </w:pPr>
          </w:p>
        </w:tc>
        <w:tc>
          <w:tcPr>
            <w:tcW w:w="680" w:type="dxa"/>
            <w:vMerge w:val="restart"/>
            <w:vAlign w:val="center"/>
          </w:tcPr>
          <w:p w14:paraId="78C473EE">
            <w:pPr>
              <w:snapToGrid w:val="0"/>
              <w:jc w:val="left"/>
              <w:rPr>
                <w:rFonts w:ascii="仿宋_GB2312" w:hAnsi="宋体" w:eastAsia="仿宋_GB2312"/>
                <w:color w:val="000000" w:themeColor="text1"/>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模块3：AI与大数据</w:t>
            </w:r>
          </w:p>
        </w:tc>
        <w:tc>
          <w:tcPr>
            <w:tcW w:w="1357" w:type="dxa"/>
            <w:vAlign w:val="center"/>
          </w:tcPr>
          <w:p w14:paraId="752B76F3">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DCS5206</w:t>
            </w:r>
          </w:p>
          <w:p w14:paraId="0916B54A">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AI5223</w:t>
            </w:r>
          </w:p>
        </w:tc>
        <w:tc>
          <w:tcPr>
            <w:tcW w:w="2928" w:type="dxa"/>
            <w:vAlign w:val="center"/>
          </w:tcPr>
          <w:p w14:paraId="1522735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177C3158">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Digital Image Processing</w:t>
            </w:r>
          </w:p>
        </w:tc>
        <w:tc>
          <w:tcPr>
            <w:tcW w:w="600" w:type="dxa"/>
            <w:vAlign w:val="center"/>
          </w:tcPr>
          <w:p w14:paraId="56490E8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64" w:type="dxa"/>
            <w:vAlign w:val="center"/>
          </w:tcPr>
          <w:p w14:paraId="65E09DE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1586" w:type="dxa"/>
            <w:vAlign w:val="center"/>
          </w:tcPr>
          <w:p w14:paraId="68F75EE5">
            <w:pPr>
              <w:jc w:val="left"/>
              <w:rPr>
                <w:rFonts w:hint="default" w:eastAsia="仿宋_GB2312"/>
                <w:color w:val="000000" w:themeColor="text1"/>
                <w:kern w:val="0"/>
                <w:sz w:val="18"/>
                <w:szCs w:val="18"/>
                <w:highlight w:val="none"/>
                <w:lang w:val="en-US"/>
                <w14:textFill>
                  <w14:solidFill>
                    <w14:schemeClr w14:val="tx1"/>
                  </w14:solidFill>
                </w14:textFill>
              </w:rPr>
            </w:pPr>
            <w:r>
              <w:rPr>
                <w:rFonts w:hint="eastAsia" w:eastAsia="仿宋_GB2312"/>
                <w:kern w:val="0"/>
                <w:sz w:val="18"/>
                <w:szCs w:val="18"/>
              </w:rPr>
              <w:t>谢晓华、赖剑煌、郑慧诚、刘宁、曾坤、潘炎、张青</w:t>
            </w:r>
          </w:p>
        </w:tc>
        <w:tc>
          <w:tcPr>
            <w:tcW w:w="1169" w:type="dxa"/>
            <w:vAlign w:val="center"/>
          </w:tcPr>
          <w:p w14:paraId="06D80B3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22D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3083DDE">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A302A53">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357" w:type="dxa"/>
            <w:vAlign w:val="center"/>
          </w:tcPr>
          <w:p w14:paraId="2809E6E7">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DCS5232</w:t>
            </w:r>
          </w:p>
          <w:p w14:paraId="5B5771E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AI5705</w:t>
            </w:r>
          </w:p>
        </w:tc>
        <w:tc>
          <w:tcPr>
            <w:tcW w:w="2928" w:type="dxa"/>
            <w:vAlign w:val="center"/>
          </w:tcPr>
          <w:p w14:paraId="61C407B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51D355DF">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Frontiers of Deep Learning</w:t>
            </w:r>
          </w:p>
        </w:tc>
        <w:tc>
          <w:tcPr>
            <w:tcW w:w="600" w:type="dxa"/>
            <w:vAlign w:val="center"/>
          </w:tcPr>
          <w:p w14:paraId="6C21358C">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541BD530">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3C2111F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169" w:type="dxa"/>
            <w:vAlign w:val="center"/>
          </w:tcPr>
          <w:p w14:paraId="5035C350">
            <w:pPr>
              <w:jc w:val="center"/>
              <w:rPr>
                <w:rFonts w:hint="eastAsia" w:ascii="仿宋_GB2312" w:hAnsi="宋体" w:eastAsia="仿宋_GB2312"/>
                <w:color w:val="000000" w:themeColor="text1"/>
                <w:sz w:val="16"/>
                <w:szCs w:val="16"/>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EDAD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7C848367">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79F2A267">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357" w:type="dxa"/>
            <w:vAlign w:val="center"/>
          </w:tcPr>
          <w:p w14:paraId="54D6F8A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DCS5234</w:t>
            </w:r>
          </w:p>
          <w:p w14:paraId="29394A81">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AI520</w:t>
            </w:r>
            <w:r>
              <w:rPr>
                <w:rFonts w:hint="eastAsia" w:eastAsia="仿宋_GB2312"/>
                <w:color w:val="000000" w:themeColor="text1"/>
                <w:kern w:val="0"/>
                <w:sz w:val="18"/>
                <w:szCs w:val="18"/>
                <w:highlight w:val="none"/>
                <w:lang w:val="en-US" w:eastAsia="zh-CN"/>
                <w14:textFill>
                  <w14:solidFill>
                    <w14:schemeClr w14:val="tx1"/>
                  </w14:solidFill>
                </w14:textFill>
              </w:rPr>
              <w:t>8</w:t>
            </w:r>
          </w:p>
        </w:tc>
        <w:tc>
          <w:tcPr>
            <w:tcW w:w="2928" w:type="dxa"/>
            <w:vAlign w:val="center"/>
          </w:tcPr>
          <w:p w14:paraId="1B8240C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78EEB590">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Natural Language Processing</w:t>
            </w:r>
          </w:p>
        </w:tc>
        <w:tc>
          <w:tcPr>
            <w:tcW w:w="600" w:type="dxa"/>
            <w:vAlign w:val="center"/>
          </w:tcPr>
          <w:p w14:paraId="0CF94DE8">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3078CD0B">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294C5FA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权小军、杨猛、潘嵘</w:t>
            </w:r>
          </w:p>
        </w:tc>
        <w:tc>
          <w:tcPr>
            <w:tcW w:w="1169" w:type="dxa"/>
            <w:vAlign w:val="center"/>
          </w:tcPr>
          <w:p w14:paraId="5B87FD4C">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730D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0310AD6">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6D2E70D4">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357" w:type="dxa"/>
            <w:vAlign w:val="center"/>
          </w:tcPr>
          <w:p w14:paraId="7101FF72">
            <w:pPr>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DCS5257</w:t>
            </w:r>
          </w:p>
          <w:p w14:paraId="06D34F6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SE5224</w:t>
            </w:r>
          </w:p>
        </w:tc>
        <w:tc>
          <w:tcPr>
            <w:tcW w:w="2928" w:type="dxa"/>
            <w:vAlign w:val="center"/>
          </w:tcPr>
          <w:p w14:paraId="4035B777">
            <w:pPr>
              <w:jc w:val="left"/>
              <w:rPr>
                <w:rFonts w:eastAsia="仿宋_GB2312"/>
                <w:color w:val="auto"/>
                <w:kern w:val="0"/>
                <w:sz w:val="18"/>
                <w:szCs w:val="18"/>
                <w:highlight w:val="none"/>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06F3FDD6">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Principles and Applications of Reinforcement Learning</w:t>
            </w:r>
          </w:p>
        </w:tc>
        <w:tc>
          <w:tcPr>
            <w:tcW w:w="600" w:type="dxa"/>
            <w:vAlign w:val="center"/>
          </w:tcPr>
          <w:p w14:paraId="1A7C4285">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3D0C828C">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254C9A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169" w:type="dxa"/>
            <w:vAlign w:val="center"/>
          </w:tcPr>
          <w:p w14:paraId="6E98697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4ED0F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9F505DC">
            <w:pPr>
              <w:rPr>
                <w:rFonts w:eastAsia="仿宋_GB2312"/>
                <w:color w:val="000000" w:themeColor="text1"/>
                <w:kern w:val="0"/>
                <w:sz w:val="18"/>
                <w:szCs w:val="18"/>
                <w:highlight w:val="none"/>
                <w14:textFill>
                  <w14:solidFill>
                    <w14:schemeClr w14:val="tx1"/>
                  </w14:solidFill>
                </w14:textFill>
              </w:rPr>
            </w:pPr>
          </w:p>
        </w:tc>
        <w:tc>
          <w:tcPr>
            <w:tcW w:w="680" w:type="dxa"/>
            <w:vMerge w:val="continue"/>
          </w:tcPr>
          <w:p w14:paraId="7CE10285">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D2AD096">
            <w:pPr>
              <w:jc w:val="center"/>
              <w:rPr>
                <w:rFonts w:eastAsia="仿宋_GB2312"/>
                <w:color w:val="auto"/>
                <w:kern w:val="0"/>
                <w:sz w:val="18"/>
                <w:szCs w:val="18"/>
                <w:highlight w:val="none"/>
              </w:rPr>
            </w:pPr>
            <w:r>
              <w:rPr>
                <w:rFonts w:eastAsia="仿宋_GB2312"/>
                <w:color w:val="auto"/>
                <w:kern w:val="0"/>
                <w:sz w:val="18"/>
                <w:szCs w:val="18"/>
                <w:highlight w:val="none"/>
              </w:rPr>
              <w:t>DCS5228</w:t>
            </w:r>
          </w:p>
        </w:tc>
        <w:tc>
          <w:tcPr>
            <w:tcW w:w="2928" w:type="dxa"/>
            <w:vAlign w:val="center"/>
          </w:tcPr>
          <w:p w14:paraId="3C778D66">
            <w:pPr>
              <w:jc w:val="left"/>
              <w:rPr>
                <w:rFonts w:eastAsia="仿宋_GB2312"/>
                <w:color w:val="auto"/>
                <w:kern w:val="0"/>
                <w:sz w:val="18"/>
                <w:szCs w:val="18"/>
                <w:highlight w:val="none"/>
              </w:rPr>
            </w:pPr>
            <w:r>
              <w:rPr>
                <w:rFonts w:hint="eastAsia" w:eastAsia="仿宋_GB2312"/>
                <w:color w:val="auto"/>
                <w:kern w:val="0"/>
                <w:sz w:val="18"/>
                <w:szCs w:val="18"/>
                <w:highlight w:val="none"/>
              </w:rPr>
              <w:t>知识表示与推理</w:t>
            </w:r>
          </w:p>
          <w:p w14:paraId="7B36C654">
            <w:pPr>
              <w:jc w:val="left"/>
              <w:rPr>
                <w:rFonts w:eastAsia="仿宋_GB2312"/>
                <w:color w:val="auto"/>
                <w:kern w:val="0"/>
                <w:sz w:val="18"/>
                <w:szCs w:val="18"/>
                <w:highlight w:val="none"/>
              </w:rPr>
            </w:pPr>
            <w:r>
              <w:rPr>
                <w:rFonts w:eastAsia="仿宋_GB2312"/>
                <w:color w:val="auto"/>
                <w:kern w:val="0"/>
                <w:sz w:val="18"/>
                <w:szCs w:val="18"/>
                <w:highlight w:val="none"/>
              </w:rPr>
              <w:t>Knowledge Representation and Reasoning</w:t>
            </w:r>
          </w:p>
        </w:tc>
        <w:tc>
          <w:tcPr>
            <w:tcW w:w="600" w:type="dxa"/>
            <w:vAlign w:val="center"/>
          </w:tcPr>
          <w:p w14:paraId="766DE88A">
            <w:pPr>
              <w:snapToGrid w:val="0"/>
              <w:jc w:val="center"/>
              <w:rPr>
                <w:rFonts w:ascii="仿宋_GB2312" w:hAnsi="华文仿宋" w:eastAsia="仿宋_GB2312"/>
                <w:color w:val="auto"/>
                <w:kern w:val="0"/>
                <w:sz w:val="16"/>
                <w:szCs w:val="16"/>
                <w:highlight w:val="none"/>
              </w:rPr>
            </w:pPr>
            <w:r>
              <w:rPr>
                <w:rFonts w:ascii="仿宋_GB2312" w:hAnsi="宋体" w:eastAsia="仿宋_GB2312"/>
                <w:color w:val="auto"/>
                <w:sz w:val="16"/>
                <w:szCs w:val="16"/>
                <w:highlight w:val="none"/>
              </w:rPr>
              <w:t>36</w:t>
            </w:r>
          </w:p>
        </w:tc>
        <w:tc>
          <w:tcPr>
            <w:tcW w:w="464" w:type="dxa"/>
            <w:vAlign w:val="center"/>
          </w:tcPr>
          <w:p w14:paraId="5DE58520">
            <w:pPr>
              <w:snapToGrid w:val="0"/>
              <w:jc w:val="center"/>
              <w:rPr>
                <w:rFonts w:ascii="仿宋_GB2312" w:hAnsi="华文仿宋" w:eastAsia="仿宋_GB2312"/>
                <w:color w:val="auto"/>
                <w:kern w:val="0"/>
                <w:sz w:val="16"/>
                <w:szCs w:val="16"/>
                <w:highlight w:val="none"/>
              </w:rPr>
            </w:pPr>
            <w:r>
              <w:rPr>
                <w:rFonts w:ascii="仿宋_GB2312" w:hAnsi="宋体" w:eastAsia="仿宋_GB2312"/>
                <w:color w:val="auto"/>
                <w:sz w:val="16"/>
                <w:szCs w:val="16"/>
                <w:highlight w:val="none"/>
              </w:rPr>
              <w:t>2</w:t>
            </w:r>
          </w:p>
        </w:tc>
        <w:tc>
          <w:tcPr>
            <w:tcW w:w="1586" w:type="dxa"/>
            <w:vAlign w:val="center"/>
          </w:tcPr>
          <w:p w14:paraId="509997D2">
            <w:pPr>
              <w:jc w:val="left"/>
              <w:rPr>
                <w:rFonts w:eastAsia="仿宋_GB2312"/>
                <w:color w:val="auto"/>
                <w:kern w:val="0"/>
                <w:sz w:val="18"/>
                <w:szCs w:val="18"/>
                <w:highlight w:val="none"/>
              </w:rPr>
            </w:pPr>
            <w:r>
              <w:rPr>
                <w:rFonts w:hint="eastAsia" w:eastAsia="仿宋_GB2312"/>
                <w:color w:val="000000" w:themeColor="text1"/>
                <w:kern w:val="0"/>
                <w:sz w:val="18"/>
                <w:szCs w:val="18"/>
                <w:highlight w:val="none"/>
                <w14:textFill>
                  <w14:solidFill>
                    <w14:schemeClr w14:val="tx1"/>
                  </w14:solidFill>
                </w14:textFill>
              </w:rPr>
              <w:t>刘咏梅</w:t>
            </w:r>
          </w:p>
        </w:tc>
        <w:tc>
          <w:tcPr>
            <w:tcW w:w="1169" w:type="dxa"/>
            <w:vAlign w:val="center"/>
          </w:tcPr>
          <w:p w14:paraId="7096C7A9">
            <w:pPr>
              <w:jc w:val="center"/>
              <w:rPr>
                <w:rFonts w:hint="default" w:eastAsia="仿宋_GB2312"/>
                <w:color w:val="auto"/>
                <w:kern w:val="0"/>
                <w:sz w:val="18"/>
                <w:szCs w:val="18"/>
                <w:highlight w:val="none"/>
                <w:lang w:val="en-US" w:eastAsia="zh-CN"/>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2E6DE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026CB7D">
            <w:pPr>
              <w:rPr>
                <w:rFonts w:eastAsia="仿宋_GB2312"/>
                <w:color w:val="000000" w:themeColor="text1"/>
                <w:kern w:val="0"/>
                <w:sz w:val="18"/>
                <w:szCs w:val="18"/>
                <w:highlight w:val="none"/>
                <w14:textFill>
                  <w14:solidFill>
                    <w14:schemeClr w14:val="tx1"/>
                  </w14:solidFill>
                </w14:textFill>
              </w:rPr>
            </w:pPr>
          </w:p>
        </w:tc>
        <w:tc>
          <w:tcPr>
            <w:tcW w:w="680" w:type="dxa"/>
            <w:vMerge w:val="continue"/>
          </w:tcPr>
          <w:p w14:paraId="53F75252">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201FE2D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DCS5255 </w:t>
            </w:r>
          </w:p>
        </w:tc>
        <w:tc>
          <w:tcPr>
            <w:tcW w:w="2928" w:type="dxa"/>
            <w:vAlign w:val="center"/>
          </w:tcPr>
          <w:p w14:paraId="4CB2516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11419AF5">
            <w:pPr>
              <w:jc w:val="left"/>
              <w:rPr>
                <w:rFonts w:hint="eastAsia" w:ascii="仿宋_GB2312" w:hAnsi="宋体" w:eastAsia="仿宋_GB2312"/>
                <w:color w:val="000000" w:themeColor="text1"/>
                <w:sz w:val="16"/>
                <w:szCs w:val="16"/>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600" w:type="dxa"/>
            <w:vAlign w:val="center"/>
          </w:tcPr>
          <w:p w14:paraId="022CFF44">
            <w:pPr>
              <w:snapToGrid w:val="0"/>
              <w:jc w:val="center"/>
              <w:rPr>
                <w:rFonts w:hint="eastAsia" w:ascii="仿宋_GB2312" w:hAnsi="宋体" w:eastAsia="仿宋_GB2312"/>
                <w:color w:val="000000" w:themeColor="text1"/>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64" w:type="dxa"/>
            <w:vAlign w:val="center"/>
          </w:tcPr>
          <w:p w14:paraId="2DAF5C19">
            <w:pPr>
              <w:snapToGrid w:val="0"/>
              <w:jc w:val="center"/>
              <w:rPr>
                <w:rFonts w:hint="eastAsia" w:ascii="仿宋_GB2312" w:hAnsi="宋体" w:eastAsia="仿宋_GB2312"/>
                <w:color w:val="000000" w:themeColor="text1"/>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1586" w:type="dxa"/>
            <w:vAlign w:val="center"/>
          </w:tcPr>
          <w:p w14:paraId="674BAFAE">
            <w:pPr>
              <w:jc w:val="left"/>
              <w:rPr>
                <w:rFonts w:hint="eastAsia" w:ascii="仿宋_GB2312" w:hAnsi="宋体" w:eastAsia="仿宋_GB2312"/>
                <w:color w:val="000000" w:themeColor="text1"/>
                <w:sz w:val="16"/>
                <w:szCs w:val="16"/>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169" w:type="dxa"/>
            <w:vAlign w:val="top"/>
          </w:tcPr>
          <w:p w14:paraId="41F4C683">
            <w:pPr>
              <w:spacing w:line="480" w:lineRule="auto"/>
              <w:jc w:val="center"/>
              <w:rPr>
                <w:rFonts w:hint="eastAsia" w:ascii="仿宋_GB2312" w:hAnsi="宋体" w:eastAsia="仿宋_GB2312"/>
                <w:color w:val="000000" w:themeColor="text1"/>
                <w:sz w:val="16"/>
                <w:szCs w:val="16"/>
                <w:highlight w:val="none"/>
                <w:lang w:val="en-US" w:eastAsia="zh-CN"/>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432C1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B73A448">
            <w:pPr>
              <w:rPr>
                <w:rFonts w:eastAsia="仿宋_GB2312"/>
                <w:color w:val="000000" w:themeColor="text1"/>
                <w:kern w:val="0"/>
                <w:sz w:val="18"/>
                <w:szCs w:val="18"/>
                <w:highlight w:val="none"/>
                <w14:textFill>
                  <w14:solidFill>
                    <w14:schemeClr w14:val="tx1"/>
                  </w14:solidFill>
                </w14:textFill>
              </w:rPr>
            </w:pPr>
          </w:p>
        </w:tc>
        <w:tc>
          <w:tcPr>
            <w:tcW w:w="680" w:type="dxa"/>
            <w:vMerge w:val="restart"/>
            <w:vAlign w:val="center"/>
          </w:tcPr>
          <w:p w14:paraId="34E65B92">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模块4：安全与隐私</w:t>
            </w:r>
          </w:p>
        </w:tc>
        <w:tc>
          <w:tcPr>
            <w:tcW w:w="1357" w:type="dxa"/>
            <w:vAlign w:val="center"/>
          </w:tcPr>
          <w:p w14:paraId="460E6FB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DCS5242</w:t>
            </w:r>
          </w:p>
        </w:tc>
        <w:tc>
          <w:tcPr>
            <w:tcW w:w="2928" w:type="dxa"/>
            <w:vAlign w:val="center"/>
          </w:tcPr>
          <w:p w14:paraId="68464DD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3D92E7E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Topics of Modern Cryptography</w:t>
            </w:r>
          </w:p>
        </w:tc>
        <w:tc>
          <w:tcPr>
            <w:tcW w:w="600" w:type="dxa"/>
            <w:vAlign w:val="center"/>
          </w:tcPr>
          <w:p w14:paraId="5CF95CCD">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05B657B7">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249D9817">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169" w:type="dxa"/>
            <w:vAlign w:val="center"/>
          </w:tcPr>
          <w:p w14:paraId="2E8835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6D08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00E9B45">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57AC6C8">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4625F1F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DCS5243</w:t>
            </w:r>
          </w:p>
        </w:tc>
        <w:tc>
          <w:tcPr>
            <w:tcW w:w="2928" w:type="dxa"/>
            <w:vAlign w:val="center"/>
          </w:tcPr>
          <w:p w14:paraId="0E567E4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49F24A22">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Data Privacy Protection and Secure Computing</w:t>
            </w:r>
          </w:p>
        </w:tc>
        <w:tc>
          <w:tcPr>
            <w:tcW w:w="600" w:type="dxa"/>
            <w:vAlign w:val="center"/>
          </w:tcPr>
          <w:p w14:paraId="3233925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51D032A5">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1C565A3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169" w:type="dxa"/>
            <w:vAlign w:val="center"/>
          </w:tcPr>
          <w:p w14:paraId="5E1098E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7A5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57F4118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39A1DA70">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165EDB9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DCS5244</w:t>
            </w:r>
          </w:p>
        </w:tc>
        <w:tc>
          <w:tcPr>
            <w:tcW w:w="2928" w:type="dxa"/>
            <w:vAlign w:val="center"/>
          </w:tcPr>
          <w:p w14:paraId="19437CA7">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144FC2C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Multimedia Content Security</w:t>
            </w:r>
          </w:p>
        </w:tc>
        <w:tc>
          <w:tcPr>
            <w:tcW w:w="600" w:type="dxa"/>
            <w:vAlign w:val="center"/>
          </w:tcPr>
          <w:p w14:paraId="1B0821D6">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03BB0E7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2B70341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169" w:type="dxa"/>
            <w:vAlign w:val="center"/>
          </w:tcPr>
          <w:p w14:paraId="404491B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265B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07554D5">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F05E0F7">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6683B5E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DCS5259</w:t>
            </w:r>
          </w:p>
        </w:tc>
        <w:tc>
          <w:tcPr>
            <w:tcW w:w="2928" w:type="dxa"/>
            <w:vAlign w:val="center"/>
          </w:tcPr>
          <w:p w14:paraId="391D892D">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网络安全创新思辨</w:t>
            </w:r>
          </w:p>
          <w:p w14:paraId="594E901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Cybersecurity Innovative Thinking and Critical Reasoning</w:t>
            </w:r>
          </w:p>
        </w:tc>
        <w:tc>
          <w:tcPr>
            <w:tcW w:w="600" w:type="dxa"/>
            <w:vAlign w:val="center"/>
          </w:tcPr>
          <w:p w14:paraId="44EBF90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36</w:t>
            </w:r>
          </w:p>
        </w:tc>
        <w:tc>
          <w:tcPr>
            <w:tcW w:w="464" w:type="dxa"/>
            <w:vAlign w:val="center"/>
          </w:tcPr>
          <w:p w14:paraId="019AC9AF">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2</w:t>
            </w:r>
          </w:p>
        </w:tc>
        <w:tc>
          <w:tcPr>
            <w:tcW w:w="1586" w:type="dxa"/>
            <w:vAlign w:val="center"/>
          </w:tcPr>
          <w:p w14:paraId="6FB25B6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169" w:type="dxa"/>
            <w:vAlign w:val="center"/>
          </w:tcPr>
          <w:p w14:paraId="4525BF5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1A06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103A69CB">
            <w:pPr>
              <w:rPr>
                <w:rFonts w:eastAsia="仿宋_GB2312"/>
                <w:color w:val="000000" w:themeColor="text1"/>
                <w:kern w:val="0"/>
                <w:sz w:val="18"/>
                <w:szCs w:val="18"/>
                <w:highlight w:val="none"/>
                <w14:textFill>
                  <w14:solidFill>
                    <w14:schemeClr w14:val="tx1"/>
                  </w14:solidFill>
                </w14:textFill>
              </w:rPr>
            </w:pPr>
          </w:p>
        </w:tc>
        <w:tc>
          <w:tcPr>
            <w:tcW w:w="680" w:type="dxa"/>
            <w:vMerge w:val="restart"/>
            <w:vAlign w:val="center"/>
          </w:tcPr>
          <w:p w14:paraId="1857A90C">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模块5：软件与应用</w:t>
            </w:r>
          </w:p>
        </w:tc>
        <w:tc>
          <w:tcPr>
            <w:tcW w:w="1357" w:type="dxa"/>
            <w:vAlign w:val="center"/>
          </w:tcPr>
          <w:p w14:paraId="1814738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DCS5246</w:t>
            </w:r>
          </w:p>
        </w:tc>
        <w:tc>
          <w:tcPr>
            <w:tcW w:w="2928" w:type="dxa"/>
            <w:vAlign w:val="center"/>
          </w:tcPr>
          <w:p w14:paraId="7F5BA5E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71992BDD">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Object-oriented Technology</w:t>
            </w:r>
          </w:p>
        </w:tc>
        <w:tc>
          <w:tcPr>
            <w:tcW w:w="600" w:type="dxa"/>
            <w:vAlign w:val="center"/>
          </w:tcPr>
          <w:p w14:paraId="6DB6223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6BCD7831">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2568BB47">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169" w:type="dxa"/>
            <w:vAlign w:val="center"/>
          </w:tcPr>
          <w:p w14:paraId="38C459E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DAAB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6C6F39E">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3FF29BF5">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2C7422E9">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2928" w:type="dxa"/>
            <w:vAlign w:val="center"/>
          </w:tcPr>
          <w:p w14:paraId="77B5142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3A16A70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Computational Visual Media</w:t>
            </w:r>
          </w:p>
        </w:tc>
        <w:tc>
          <w:tcPr>
            <w:tcW w:w="600" w:type="dxa"/>
            <w:vAlign w:val="center"/>
          </w:tcPr>
          <w:p w14:paraId="3C5558FA">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473CC623">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32FD8702">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169" w:type="dxa"/>
            <w:vAlign w:val="center"/>
          </w:tcPr>
          <w:p w14:paraId="479B455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E3E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D314C28">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11BC84B2">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796DD515">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2928" w:type="dxa"/>
            <w:vAlign w:val="center"/>
          </w:tcPr>
          <w:p w14:paraId="05A147D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58648BF2">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Virtual Reality and Visualization</w:t>
            </w:r>
          </w:p>
        </w:tc>
        <w:tc>
          <w:tcPr>
            <w:tcW w:w="600" w:type="dxa"/>
            <w:vAlign w:val="center"/>
          </w:tcPr>
          <w:p w14:paraId="2F41E5F5">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4A070C2D">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5C74C99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169" w:type="dxa"/>
            <w:vAlign w:val="center"/>
          </w:tcPr>
          <w:p w14:paraId="3597077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FB6D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36BED529">
            <w:pPr>
              <w:rPr>
                <w:rFonts w:eastAsia="仿宋_GB2312"/>
                <w:color w:val="000000" w:themeColor="text1"/>
                <w:kern w:val="0"/>
                <w:sz w:val="18"/>
                <w:szCs w:val="18"/>
                <w:highlight w:val="none"/>
                <w14:textFill>
                  <w14:solidFill>
                    <w14:schemeClr w14:val="tx1"/>
                  </w14:solidFill>
                </w14:textFill>
              </w:rPr>
            </w:pPr>
          </w:p>
        </w:tc>
        <w:tc>
          <w:tcPr>
            <w:tcW w:w="680" w:type="dxa"/>
            <w:vMerge w:val="restart"/>
            <w:vAlign w:val="center"/>
          </w:tcPr>
          <w:p w14:paraId="409FA046">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模块6：交叉科学</w:t>
            </w:r>
          </w:p>
        </w:tc>
        <w:tc>
          <w:tcPr>
            <w:tcW w:w="1357" w:type="dxa"/>
            <w:vAlign w:val="center"/>
          </w:tcPr>
          <w:p w14:paraId="71580BF1">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2928" w:type="dxa"/>
            <w:vAlign w:val="center"/>
          </w:tcPr>
          <w:p w14:paraId="3D228B9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3FC1256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Frontiers of Bioinformatics Computing</w:t>
            </w:r>
          </w:p>
        </w:tc>
        <w:tc>
          <w:tcPr>
            <w:tcW w:w="600" w:type="dxa"/>
            <w:vAlign w:val="center"/>
          </w:tcPr>
          <w:p w14:paraId="10EADAC2">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64" w:type="dxa"/>
            <w:vAlign w:val="center"/>
          </w:tcPr>
          <w:p w14:paraId="20D81407">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586" w:type="dxa"/>
            <w:vAlign w:val="center"/>
          </w:tcPr>
          <w:p w14:paraId="48882FF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169" w:type="dxa"/>
            <w:vAlign w:val="center"/>
          </w:tcPr>
          <w:p w14:paraId="2886123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8E30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673A3284">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50C5D538">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71565F12">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2928" w:type="dxa"/>
            <w:vAlign w:val="center"/>
          </w:tcPr>
          <w:p w14:paraId="7860480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700F241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HPC+AI for Science</w:t>
            </w:r>
          </w:p>
        </w:tc>
        <w:tc>
          <w:tcPr>
            <w:tcW w:w="600" w:type="dxa"/>
            <w:vAlign w:val="center"/>
          </w:tcPr>
          <w:p w14:paraId="7EEEEC7F">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3</w:t>
            </w:r>
            <w:r>
              <w:rPr>
                <w:rFonts w:ascii="仿宋" w:hAnsi="仿宋" w:eastAsia="仿宋" w:cs="F4"/>
                <w:color w:val="000000" w:themeColor="text1"/>
                <w:kern w:val="0"/>
                <w:sz w:val="16"/>
                <w:szCs w:val="16"/>
                <w:highlight w:val="none"/>
                <w14:textFill>
                  <w14:solidFill>
                    <w14:schemeClr w14:val="tx1"/>
                  </w14:solidFill>
                </w14:textFill>
              </w:rPr>
              <w:t>6</w:t>
            </w:r>
          </w:p>
        </w:tc>
        <w:tc>
          <w:tcPr>
            <w:tcW w:w="464" w:type="dxa"/>
            <w:vAlign w:val="center"/>
          </w:tcPr>
          <w:p w14:paraId="47A75BB8">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2</w:t>
            </w:r>
          </w:p>
        </w:tc>
        <w:tc>
          <w:tcPr>
            <w:tcW w:w="1586" w:type="dxa"/>
            <w:vAlign w:val="center"/>
          </w:tcPr>
          <w:p w14:paraId="56B8BAE3">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169" w:type="dxa"/>
            <w:vAlign w:val="center"/>
          </w:tcPr>
          <w:p w14:paraId="416B0FD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0111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80" w:type="dxa"/>
            <w:vMerge w:val="continue"/>
          </w:tcPr>
          <w:p w14:paraId="0C38F544">
            <w:pPr>
              <w:rPr>
                <w:rFonts w:eastAsia="仿宋_GB2312"/>
                <w:color w:val="000000" w:themeColor="text1"/>
                <w:kern w:val="0"/>
                <w:sz w:val="18"/>
                <w:szCs w:val="18"/>
                <w:highlight w:val="none"/>
                <w14:textFill>
                  <w14:solidFill>
                    <w14:schemeClr w14:val="tx1"/>
                  </w14:solidFill>
                </w14:textFill>
              </w:rPr>
            </w:pPr>
          </w:p>
        </w:tc>
        <w:tc>
          <w:tcPr>
            <w:tcW w:w="680" w:type="dxa"/>
            <w:vMerge w:val="continue"/>
            <w:vAlign w:val="center"/>
          </w:tcPr>
          <w:p w14:paraId="7AAC58FB">
            <w:pPr>
              <w:rPr>
                <w:rFonts w:eastAsia="仿宋_GB2312"/>
                <w:color w:val="000000" w:themeColor="text1"/>
                <w:kern w:val="0"/>
                <w:sz w:val="18"/>
                <w:szCs w:val="18"/>
                <w:highlight w:val="none"/>
                <w14:textFill>
                  <w14:solidFill>
                    <w14:schemeClr w14:val="tx1"/>
                  </w14:solidFill>
                </w14:textFill>
              </w:rPr>
            </w:pPr>
          </w:p>
        </w:tc>
        <w:tc>
          <w:tcPr>
            <w:tcW w:w="1357" w:type="dxa"/>
            <w:vAlign w:val="center"/>
          </w:tcPr>
          <w:p w14:paraId="75639A2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DCS5702</w:t>
            </w:r>
          </w:p>
        </w:tc>
        <w:tc>
          <w:tcPr>
            <w:tcW w:w="2928" w:type="dxa"/>
            <w:vAlign w:val="center"/>
          </w:tcPr>
          <w:p w14:paraId="5070577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lang w:val="en-US" w:eastAsia="zh-CN"/>
                <w14:textFill>
                  <w14:solidFill>
                    <w14:schemeClr w14:val="tx1"/>
                  </w14:solidFill>
                </w14:textFill>
              </w:rPr>
              <w:t>Artificial Intelligence Big Data and Supercomputing Integrated System</w:t>
            </w:r>
          </w:p>
        </w:tc>
        <w:tc>
          <w:tcPr>
            <w:tcW w:w="600" w:type="dxa"/>
            <w:vAlign w:val="center"/>
          </w:tcPr>
          <w:p w14:paraId="5BEF3F11">
            <w:pPr>
              <w:snapToGrid w:val="0"/>
              <w:jc w:val="center"/>
              <w:rPr>
                <w:rFonts w:hint="eastAsia" w:ascii="仿宋" w:hAnsi="仿宋" w:eastAsia="仿宋" w:cs="F4"/>
                <w:color w:val="000000" w:themeColor="text1"/>
                <w:kern w:val="0"/>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36</w:t>
            </w:r>
          </w:p>
        </w:tc>
        <w:tc>
          <w:tcPr>
            <w:tcW w:w="464" w:type="dxa"/>
            <w:vAlign w:val="center"/>
          </w:tcPr>
          <w:p w14:paraId="4841F35C">
            <w:pPr>
              <w:snapToGrid w:val="0"/>
              <w:jc w:val="center"/>
              <w:rPr>
                <w:rFonts w:hint="eastAsia" w:ascii="仿宋" w:hAnsi="仿宋" w:eastAsia="仿宋" w:cs="F4"/>
                <w:color w:val="000000" w:themeColor="text1"/>
                <w:kern w:val="0"/>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2</w:t>
            </w:r>
          </w:p>
        </w:tc>
        <w:tc>
          <w:tcPr>
            <w:tcW w:w="1586" w:type="dxa"/>
            <w:vAlign w:val="center"/>
          </w:tcPr>
          <w:p w14:paraId="181CBFF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169" w:type="dxa"/>
            <w:vAlign w:val="center"/>
          </w:tcPr>
          <w:p w14:paraId="0CE5F12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3F02D922">
      <w:pPr>
        <w:spacing w:line="500" w:lineRule="exact"/>
        <w:rPr>
          <w:rFonts w:hint="eastAsia" w:eastAsia="仿宋_GB2312"/>
          <w:color w:val="000000" w:themeColor="text1"/>
          <w:sz w:val="28"/>
          <w:szCs w:val="28"/>
          <w:highlight w:val="none"/>
          <w:lang w:val="en-US" w:eastAsia="zh-CN"/>
          <w14:textFill>
            <w14:solidFill>
              <w14:schemeClr w14:val="tx1"/>
            </w14:solidFill>
          </w14:textFill>
        </w:rPr>
      </w:pPr>
    </w:p>
    <w:p w14:paraId="5F306BE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7AAC32E7">
      <w:pPr>
        <w:adjustRightInd w:val="0"/>
        <w:snapToGrid w:val="0"/>
        <w:spacing w:line="500" w:lineRule="exact"/>
        <w:ind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严格按照中山大学《学位与研究生教育工作手册》的有关规定执行，除完成课程学习任务并修满规定的学分外，要求博士研究生掌握坚实宽广的基础理论和系统深入的专业知识，具有独立从事科研工作的能力，有严谨求实的科学态度和学风，学位论文具有较高的创新性。具体保障措施如下：</w:t>
      </w:r>
    </w:p>
    <w:p w14:paraId="691D4A2D">
      <w:pPr>
        <w:adjustRightInd w:val="0"/>
        <w:snapToGrid w:val="0"/>
        <w:spacing w:line="500" w:lineRule="exact"/>
        <w:ind w:firstLine="560" w:firstLineChars="200"/>
        <w:rPr>
          <w:rFonts w:hint="eastAsia" w:ascii="仿宋_GB2312" w:hAnsi="仿宋" w:eastAsia="仿宋_GB2312"/>
          <w:sz w:val="28"/>
          <w:szCs w:val="28"/>
          <w:highlight w:val="none"/>
          <w:lang w:val="en-US" w:eastAsia="zh-CN"/>
        </w:rPr>
      </w:pPr>
      <w:r>
        <w:rPr>
          <w:rFonts w:hint="eastAsia" w:ascii="仿宋_GB2312" w:hAnsi="仿宋" w:eastAsia="仿宋_GB2312"/>
          <w:sz w:val="28"/>
          <w:szCs w:val="28"/>
          <w:highlight w:val="none"/>
          <w:lang w:val="en-US" w:eastAsia="zh-CN"/>
        </w:rPr>
        <w:t>1、</w:t>
      </w:r>
      <w:r>
        <w:rPr>
          <w:rFonts w:hint="eastAsia" w:eastAsia="仿宋_GB2312"/>
          <w:sz w:val="28"/>
          <w:szCs w:val="28"/>
          <w:highlight w:val="none"/>
        </w:rPr>
        <w:t>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6BDE8963">
      <w:pPr>
        <w:adjustRightInd w:val="0"/>
        <w:snapToGrid w:val="0"/>
        <w:spacing w:line="500" w:lineRule="exact"/>
        <w:ind w:firstLine="560" w:firstLineChars="200"/>
        <w:rPr>
          <w:rFonts w:hint="default" w:ascii="仿宋_GB2312" w:hAnsi="仿宋" w:eastAsia="仿宋_GB2312"/>
          <w:sz w:val="28"/>
          <w:szCs w:val="28"/>
          <w:highlight w:val="none"/>
          <w:lang w:val="en-US" w:eastAsia="zh-CN"/>
        </w:rPr>
      </w:pPr>
      <w:r>
        <w:rPr>
          <w:rFonts w:hint="eastAsia" w:ascii="仿宋_GB2312" w:hAnsi="仿宋" w:eastAsia="仿宋_GB2312"/>
          <w:sz w:val="28"/>
          <w:szCs w:val="28"/>
          <w:highlight w:val="none"/>
          <w:lang w:val="en-US" w:eastAsia="zh-CN"/>
        </w:rPr>
        <w:t>2</w:t>
      </w:r>
      <w:r>
        <w:rPr>
          <w:rFonts w:hint="eastAsia" w:ascii="仿宋_GB2312" w:hAnsi="仿宋" w:eastAsia="仿宋_GB2312"/>
          <w:sz w:val="28"/>
          <w:szCs w:val="28"/>
          <w:highlight w:val="none"/>
        </w:rPr>
        <w:t>、</w:t>
      </w:r>
      <w:r>
        <w:rPr>
          <w:rFonts w:hint="eastAsia" w:ascii="仿宋_GB2312" w:hAnsi="仿宋" w:eastAsia="仿宋_GB2312"/>
          <w:sz w:val="28"/>
          <w:szCs w:val="28"/>
          <w:highlight w:val="none"/>
          <w:lang w:val="en-US" w:eastAsia="zh-CN"/>
        </w:rPr>
        <w:t>应在导师的指导下参加讨论班、学术活动与学术报告、科研训练等。</w:t>
      </w:r>
    </w:p>
    <w:p w14:paraId="029CE7AD">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lang w:val="en-US" w:eastAsia="zh-CN"/>
        </w:rPr>
        <w:t>3</w:t>
      </w:r>
      <w:r>
        <w:rPr>
          <w:rFonts w:hint="eastAsia" w:ascii="仿宋_GB2312" w:hAnsi="仿宋" w:eastAsia="仿宋_GB2312"/>
          <w:sz w:val="28"/>
          <w:szCs w:val="28"/>
          <w:highlight w:val="none"/>
        </w:rPr>
        <w:t>、开题报告：</w:t>
      </w:r>
      <w:r>
        <w:rPr>
          <w:rFonts w:hint="eastAsia" w:ascii="仿宋_GB2312" w:hAnsi="仿宋" w:eastAsia="仿宋_GB2312"/>
          <w:sz w:val="28"/>
          <w:szCs w:val="28"/>
          <w:highlight w:val="none"/>
          <w:lang w:val="en-US" w:eastAsia="zh-CN"/>
        </w:rPr>
        <w:t>研究生开题报告工作一般安排在第二学年秋季学期进行，其中直接攻博生在第三学年秋季学期、硕博连读生在博士入学后第一学年秋季学期进行</w:t>
      </w:r>
      <w:r>
        <w:rPr>
          <w:rFonts w:hint="eastAsia" w:ascii="仿宋_GB2312" w:hAnsi="宋体" w:eastAsia="仿宋_GB2312"/>
          <w:sz w:val="28"/>
          <w:szCs w:val="28"/>
          <w:highlight w:val="none"/>
          <w:lang w:val="en-US" w:eastAsia="zh-CN"/>
        </w:rPr>
        <w:t>。</w:t>
      </w:r>
      <w:r>
        <w:rPr>
          <w:rFonts w:hint="eastAsia" w:eastAsia="仿宋_GB2312"/>
          <w:sz w:val="28"/>
          <w:szCs w:val="28"/>
          <w:highlight w:val="none"/>
        </w:rPr>
        <w:t>具体按照学校及学院开题及中期考核的相关要求执行。</w:t>
      </w:r>
    </w:p>
    <w:p w14:paraId="73B4059F">
      <w:pPr>
        <w:adjustRightInd w:val="0"/>
        <w:snapToGrid w:val="0"/>
        <w:spacing w:line="500" w:lineRule="exact"/>
        <w:ind w:firstLine="560" w:firstLineChars="200"/>
        <w:rPr>
          <w:rFonts w:hint="eastAsia" w:eastAsia="仿宋_GB2312"/>
          <w:sz w:val="28"/>
          <w:szCs w:val="28"/>
          <w:highlight w:val="none"/>
        </w:rPr>
      </w:pPr>
      <w:r>
        <w:rPr>
          <w:rFonts w:hint="eastAsia" w:ascii="仿宋_GB2312" w:hAnsi="仿宋" w:eastAsia="仿宋_GB2312"/>
          <w:sz w:val="28"/>
          <w:szCs w:val="28"/>
          <w:highlight w:val="none"/>
          <w:lang w:val="en-US" w:eastAsia="zh-CN"/>
        </w:rPr>
        <w:t>4</w:t>
      </w:r>
      <w:r>
        <w:rPr>
          <w:rFonts w:hint="eastAsia" w:ascii="仿宋_GB2312" w:hAnsi="仿宋" w:eastAsia="仿宋_GB2312"/>
          <w:sz w:val="28"/>
          <w:szCs w:val="28"/>
          <w:highlight w:val="none"/>
        </w:rPr>
        <w:t>、中期</w:t>
      </w:r>
      <w:r>
        <w:rPr>
          <w:rFonts w:hint="eastAsia" w:ascii="仿宋_GB2312" w:hAnsi="仿宋" w:eastAsia="仿宋_GB2312"/>
          <w:sz w:val="28"/>
          <w:szCs w:val="28"/>
          <w:highlight w:val="none"/>
          <w:lang w:val="en-US" w:eastAsia="zh-CN"/>
        </w:rPr>
        <w:t>考核</w:t>
      </w:r>
      <w:r>
        <w:rPr>
          <w:rFonts w:hint="eastAsia" w:ascii="仿宋_GB2312" w:hAnsi="仿宋" w:eastAsia="仿宋_GB2312"/>
          <w:sz w:val="28"/>
          <w:szCs w:val="28"/>
          <w:highlight w:val="none"/>
        </w:rPr>
        <w:t>：研究生中期考核工作</w:t>
      </w:r>
      <w:r>
        <w:rPr>
          <w:rFonts w:hint="eastAsia" w:ascii="仿宋_GB2312" w:hAnsi="仿宋" w:eastAsia="仿宋_GB2312"/>
          <w:sz w:val="28"/>
          <w:szCs w:val="28"/>
          <w:highlight w:val="none"/>
          <w:lang w:val="en-US" w:eastAsia="zh-CN"/>
        </w:rPr>
        <w:t>一般</w:t>
      </w:r>
      <w:r>
        <w:rPr>
          <w:rFonts w:hint="eastAsia" w:ascii="仿宋_GB2312" w:hAnsi="仿宋" w:eastAsia="仿宋_GB2312"/>
          <w:sz w:val="28"/>
          <w:szCs w:val="28"/>
          <w:highlight w:val="none"/>
        </w:rPr>
        <w:t>安排在第二学年春季学期进行，其中直接攻博生在第三学年春季学期、硕博连读生在博士入学后第一学年春季学期进行</w:t>
      </w:r>
      <w:r>
        <w:rPr>
          <w:rFonts w:hint="eastAsia" w:ascii="仿宋_GB2312" w:hAnsi="宋体" w:eastAsia="仿宋_GB2312"/>
          <w:sz w:val="28"/>
          <w:szCs w:val="28"/>
          <w:highlight w:val="none"/>
          <w:lang w:val="en-US" w:eastAsia="zh-CN"/>
        </w:rPr>
        <w:t>。</w:t>
      </w:r>
      <w:r>
        <w:rPr>
          <w:rFonts w:hint="eastAsia" w:eastAsia="仿宋_GB2312"/>
          <w:sz w:val="28"/>
          <w:szCs w:val="28"/>
          <w:highlight w:val="none"/>
        </w:rPr>
        <w:t>具体按照学校及学院开题及中期考核的相关要求执行。</w:t>
      </w:r>
    </w:p>
    <w:p w14:paraId="303234B6">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lang w:val="en-US" w:eastAsia="zh-CN"/>
        </w:rPr>
        <w:t>5</w:t>
      </w:r>
      <w:r>
        <w:rPr>
          <w:rFonts w:hint="eastAsia" w:ascii="仿宋_GB2312" w:hAnsi="仿宋" w:eastAsia="仿宋_GB2312"/>
          <w:sz w:val="28"/>
          <w:szCs w:val="28"/>
          <w:highlight w:val="none"/>
        </w:rPr>
        <w:t>、实践环节：要求全日制博士生按照学校的相关规定承担学院组织的助教工作</w:t>
      </w:r>
      <w:r>
        <w:rPr>
          <w:rFonts w:hint="eastAsia" w:ascii="仿宋_GB2312" w:hAnsi="宋体" w:eastAsia="仿宋_GB2312"/>
          <w:sz w:val="28"/>
          <w:szCs w:val="28"/>
          <w:highlight w:val="none"/>
        </w:rPr>
        <w:t>及实验室的实践工作</w:t>
      </w:r>
      <w:r>
        <w:rPr>
          <w:rFonts w:hint="eastAsia" w:ascii="仿宋_GB2312" w:hAnsi="仿宋" w:eastAsia="仿宋_GB2312"/>
          <w:sz w:val="28"/>
          <w:szCs w:val="28"/>
          <w:highlight w:val="none"/>
        </w:rPr>
        <w:t>。</w:t>
      </w:r>
    </w:p>
    <w:p w14:paraId="775CCA4A">
      <w:pPr>
        <w:adjustRightInd w:val="0"/>
        <w:snapToGrid w:val="0"/>
        <w:spacing w:line="500" w:lineRule="exact"/>
        <w:ind w:firstLine="560" w:firstLineChars="200"/>
        <w:jc w:val="left"/>
        <w:rPr>
          <w:rFonts w:ascii="仿宋" w:hAnsi="仿宋" w:eastAsia="仿宋"/>
          <w:sz w:val="28"/>
          <w:szCs w:val="28"/>
          <w:highlight w:val="none"/>
        </w:rPr>
      </w:pPr>
    </w:p>
    <w:p w14:paraId="1B37E10E">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41134E0B">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lang w:val="en-US" w:eastAsia="zh-CN"/>
        </w:rPr>
        <w:t>连贯培养研究生（含硕博连读、直博生）</w:t>
      </w:r>
      <w:r>
        <w:rPr>
          <w:rFonts w:hint="eastAsia" w:ascii="仿宋_GB2312" w:hAnsi="仿宋" w:eastAsia="仿宋_GB2312"/>
          <w:sz w:val="28"/>
          <w:szCs w:val="28"/>
          <w:highlight w:val="none"/>
        </w:rPr>
        <w:t>学位论文</w:t>
      </w:r>
      <w:r>
        <w:rPr>
          <w:rFonts w:hint="eastAsia" w:ascii="仿宋_GB2312" w:hAnsi="宋体" w:eastAsia="仿宋_GB2312"/>
          <w:sz w:val="28"/>
          <w:szCs w:val="28"/>
          <w:highlight w:val="none"/>
        </w:rPr>
        <w:t>在导师指导下确定论文选题</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论文</w:t>
      </w:r>
      <w:r>
        <w:rPr>
          <w:rFonts w:hint="eastAsia" w:ascii="仿宋_GB2312" w:hAnsi="仿宋" w:eastAsia="仿宋_GB2312"/>
          <w:sz w:val="28"/>
          <w:szCs w:val="28"/>
          <w:highlight w:val="none"/>
        </w:rPr>
        <w:t>应具有较高的创新性及学术水平，除满足学校的基本要求外，在攻读学位期间，发表的学术成果的质量及数量必须满足学院相关规定的要求。论文评阅按中山大学《学位与研究生教育工作手册》有关规定执行。</w:t>
      </w:r>
    </w:p>
    <w:p w14:paraId="6C89C018">
      <w:pPr>
        <w:adjustRightInd w:val="0"/>
        <w:snapToGrid w:val="0"/>
        <w:spacing w:line="500" w:lineRule="exact"/>
        <w:jc w:val="left"/>
        <w:rPr>
          <w:rFonts w:ascii="仿宋_GB2312" w:hAnsi="华文仿宋" w:eastAsia="仿宋_GB2312"/>
          <w:sz w:val="28"/>
          <w:szCs w:val="28"/>
          <w:highlight w:val="none"/>
        </w:rPr>
      </w:pPr>
    </w:p>
    <w:p w14:paraId="784C465F">
      <w:pPr>
        <w:numPr>
          <w:ilvl w:val="0"/>
          <w:numId w:val="3"/>
        </w:numPr>
        <w:spacing w:line="500" w:lineRule="exact"/>
        <w:rPr>
          <w:rFonts w:hint="eastAsia" w:ascii="仿宋_GB2312" w:hAnsi="宋体" w:eastAsia="仿宋_GB2312"/>
          <w:b/>
          <w:sz w:val="28"/>
          <w:szCs w:val="28"/>
          <w:highlight w:val="none"/>
        </w:rPr>
      </w:pPr>
      <w:r>
        <w:rPr>
          <w:rFonts w:hint="eastAsia" w:ascii="仿宋_GB2312" w:hAnsi="宋体" w:eastAsia="仿宋_GB2312"/>
          <w:b/>
          <w:sz w:val="28"/>
          <w:szCs w:val="28"/>
          <w:highlight w:val="none"/>
        </w:rPr>
        <w:t>论文答辩与学位授予</w:t>
      </w:r>
    </w:p>
    <w:p w14:paraId="082C88DD">
      <w:pPr>
        <w:adjustRightInd w:val="0"/>
        <w:snapToGrid w:val="0"/>
        <w:spacing w:line="500" w:lineRule="exact"/>
        <w:ind w:firstLine="560" w:firstLineChars="200"/>
        <w:rPr>
          <w:rFonts w:ascii="仿宋_GB2312" w:hAnsi="仿宋" w:eastAsia="仿宋_GB2312"/>
          <w:sz w:val="28"/>
          <w:szCs w:val="28"/>
          <w:highlight w:val="none"/>
        </w:rPr>
      </w:pPr>
      <w:r>
        <w:rPr>
          <w:rFonts w:hint="eastAsia" w:ascii="仿宋_GB2312" w:hAnsi="仿宋" w:eastAsia="仿宋_GB2312"/>
          <w:sz w:val="28"/>
          <w:szCs w:val="28"/>
          <w:highlight w:val="none"/>
        </w:rPr>
        <w:t>按《中山大学博士硕士学位授予工作细则》要求执行，有关学位论文的审核、论文的水平评价、对发表学术论文的要求等，在符合学校有关规定基本要求的前提下，统一参照计算机</w:t>
      </w:r>
      <w:r>
        <w:rPr>
          <w:rFonts w:hint="eastAsia" w:ascii="仿宋_GB2312" w:hAnsi="仿宋" w:eastAsia="仿宋_GB2312"/>
          <w:sz w:val="28"/>
          <w:szCs w:val="28"/>
          <w:highlight w:val="none"/>
          <w:lang w:val="en-US" w:eastAsia="zh-CN"/>
        </w:rPr>
        <w:t>科学与技术</w:t>
      </w:r>
      <w:r>
        <w:rPr>
          <w:rFonts w:hint="eastAsia" w:ascii="仿宋_GB2312" w:hAnsi="仿宋" w:eastAsia="仿宋_GB2312"/>
          <w:sz w:val="28"/>
          <w:szCs w:val="28"/>
          <w:highlight w:val="none"/>
        </w:rPr>
        <w:t>博士生发表学术论文具体规定。</w:t>
      </w:r>
    </w:p>
    <w:p w14:paraId="44F63AFA">
      <w:pPr>
        <w:adjustRightInd w:val="0"/>
        <w:snapToGrid w:val="0"/>
        <w:spacing w:line="500" w:lineRule="exact"/>
        <w:ind w:firstLine="560" w:firstLineChars="200"/>
        <w:jc w:val="left"/>
        <w:rPr>
          <w:rFonts w:ascii="仿宋_GB2312" w:hAnsi="华文仿宋" w:eastAsia="仿宋_GB2312"/>
          <w:sz w:val="28"/>
          <w:szCs w:val="28"/>
          <w:highlight w:val="none"/>
        </w:rPr>
      </w:pPr>
    </w:p>
    <w:p w14:paraId="5C677D4E">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十、必读和选读书目</w:t>
      </w:r>
    </w:p>
    <w:p w14:paraId="232FCD40">
      <w:pPr>
        <w:widowControl/>
        <w:spacing w:before="156" w:beforeLines="50" w:after="156" w:afterLines="50" w:line="50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本专业必读与选读书目一览表</w:t>
      </w:r>
    </w:p>
    <w:tbl>
      <w:tblPr>
        <w:tblStyle w:val="20"/>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4C8E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002B8CA6">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65DFCF7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33E0CD49">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0A5B8243">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39FB87D5">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760DF3E8">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7B2C9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31811EBD">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29706585">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710145FB">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6261183C">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0FD50259">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2A4C7A83">
            <w:pPr>
              <w:tabs>
                <w:tab w:val="left" w:pos="3348"/>
                <w:tab w:val="left" w:pos="4968"/>
              </w:tabs>
              <w:adjustRightInd w:val="0"/>
              <w:snapToGrid w:val="0"/>
              <w:jc w:val="center"/>
              <w:rPr>
                <w:rFonts w:ascii="仿宋_GB2312" w:hAnsi="宋体" w:eastAsia="仿宋_GB2312"/>
                <w:szCs w:val="21"/>
                <w:highlight w:val="none"/>
              </w:rPr>
            </w:pPr>
          </w:p>
        </w:tc>
      </w:tr>
    </w:tbl>
    <w:p w14:paraId="5027E50C">
      <w:pPr>
        <w:spacing w:line="500" w:lineRule="exact"/>
        <w:rPr>
          <w:rFonts w:eastAsia="仿宋_GB2312"/>
          <w:sz w:val="28"/>
          <w:szCs w:val="28"/>
          <w:highlight w:val="none"/>
        </w:rPr>
      </w:pPr>
    </w:p>
    <w:p w14:paraId="12D19D31">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01A8AFCC">
      <w:pPr>
        <w:spacing w:line="360" w:lineRule="auto"/>
        <w:jc w:val="right"/>
        <w:rPr>
          <w:rFonts w:eastAsia="PMingLiU"/>
          <w:color w:val="000000"/>
          <w:sz w:val="28"/>
          <w:szCs w:val="28"/>
          <w:highlight w:val="none"/>
          <w:lang w:eastAsia="zh-TW"/>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2024</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6</w:t>
      </w:r>
      <w:r>
        <w:rPr>
          <w:rFonts w:eastAsia="仿宋_GB2312"/>
          <w:color w:val="000000"/>
          <w:sz w:val="28"/>
          <w:szCs w:val="28"/>
          <w:highlight w:val="none"/>
        </w:rPr>
        <w:t xml:space="preserve"> </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14</w:t>
      </w:r>
      <w:r>
        <w:rPr>
          <w:rFonts w:eastAsia="仿宋_GB2312"/>
          <w:color w:val="000000"/>
          <w:sz w:val="28"/>
          <w:szCs w:val="28"/>
          <w:highlight w:val="none"/>
        </w:rPr>
        <w:t xml:space="preserve">  </w:t>
      </w:r>
      <w:r>
        <w:rPr>
          <w:rFonts w:eastAsia="仿宋_GB2312"/>
          <w:color w:val="000000"/>
          <w:sz w:val="28"/>
          <w:szCs w:val="28"/>
          <w:highlight w:val="none"/>
          <w:lang w:eastAsia="zh-TW"/>
        </w:rPr>
        <w:t>日</w:t>
      </w:r>
    </w:p>
    <w:p w14:paraId="08CE063A">
      <w:pPr>
        <w:spacing w:line="500" w:lineRule="exact"/>
        <w:rPr>
          <w:rFonts w:hint="eastAsia" w:eastAsia="仿宋_GB2312"/>
          <w:color w:val="000000" w:themeColor="text1"/>
          <w:sz w:val="28"/>
          <w:szCs w:val="28"/>
          <w:highlight w:val="none"/>
          <w:lang w:val="en-US" w:eastAsia="zh-CN"/>
          <w14:textFill>
            <w14:solidFill>
              <w14:schemeClr w14:val="tx1"/>
            </w14:solidFill>
          </w14:textFill>
        </w:rPr>
      </w:pPr>
    </w:p>
    <w:p w14:paraId="1FAB1AFA">
      <w:pPr>
        <w:spacing w:line="360" w:lineRule="auto"/>
        <w:jc w:val="right"/>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F4">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38544">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77C43">
    <w:pPr>
      <w:pStyle w:val="12"/>
      <w:framePr w:wrap="around"/>
      <w:ind w:firstLine="2700"/>
    </w:pPr>
    <w:r>
      <w:rPr>
        <w:rStyle w:val="23"/>
      </w:rPr>
      <w:fldChar w:fldCharType="begin"/>
    </w:r>
    <w:r>
      <w:rPr>
        <w:rStyle w:val="23"/>
      </w:rPr>
      <w:instrText xml:space="preserve">PAGE  </w:instrText>
    </w:r>
    <w:r>
      <w:rPr>
        <w:rStyle w:val="23"/>
      </w:rPr>
      <w:fldChar w:fldCharType="separate"/>
    </w:r>
    <w:r>
      <w:rPr>
        <w:rStyle w:val="23"/>
      </w:rPr>
      <w:t>1</w:t>
    </w:r>
    <w:r>
      <w:rPr>
        <w:rStyle w:val="23"/>
      </w:rPr>
      <w:fldChar w:fldCharType="end"/>
    </w:r>
  </w:p>
  <w:p w14:paraId="55D8E35C">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7B44B">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D5D5D1"/>
    <w:multiLevelType w:val="singleLevel"/>
    <w:tmpl w:val="AAD5D5D1"/>
    <w:lvl w:ilvl="0" w:tentative="0">
      <w:start w:val="9"/>
      <w:numFmt w:val="chineseCounting"/>
      <w:suff w:val="nothing"/>
      <w:lvlText w:val="%1、"/>
      <w:lvlJc w:val="left"/>
      <w:rPr>
        <w:rFonts w:hint="eastAsia"/>
      </w:rPr>
    </w:lvl>
  </w:abstractNum>
  <w:abstractNum w:abstractNumId="1">
    <w:nsid w:val="C6B79C74"/>
    <w:multiLevelType w:val="singleLevel"/>
    <w:tmpl w:val="C6B79C74"/>
    <w:lvl w:ilvl="0" w:tentative="0">
      <w:start w:val="2"/>
      <w:numFmt w:val="chineseCounting"/>
      <w:suff w:val="nothing"/>
      <w:lvlText w:val="%1、"/>
      <w:lvlJc w:val="left"/>
      <w:rPr>
        <w:rFonts w:hint="eastAsia"/>
      </w:rPr>
    </w:lvl>
  </w:abstractNum>
  <w:abstractNum w:abstractNumId="2">
    <w:nsid w:val="0CABA161"/>
    <w:multiLevelType w:val="singleLevel"/>
    <w:tmpl w:val="0CABA161"/>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1332DAE"/>
    <w:rsid w:val="03AA0AA0"/>
    <w:rsid w:val="0469532E"/>
    <w:rsid w:val="0696055B"/>
    <w:rsid w:val="06A2015A"/>
    <w:rsid w:val="0ABF6E54"/>
    <w:rsid w:val="0AEF0ACA"/>
    <w:rsid w:val="0C3E6C04"/>
    <w:rsid w:val="0D114C60"/>
    <w:rsid w:val="0D345088"/>
    <w:rsid w:val="0D6F7647"/>
    <w:rsid w:val="0DE476B3"/>
    <w:rsid w:val="0E4D5583"/>
    <w:rsid w:val="0EBA3C2C"/>
    <w:rsid w:val="10B95249"/>
    <w:rsid w:val="10DD77C5"/>
    <w:rsid w:val="14BE3966"/>
    <w:rsid w:val="14D40A38"/>
    <w:rsid w:val="162075CC"/>
    <w:rsid w:val="16654F05"/>
    <w:rsid w:val="17FA069D"/>
    <w:rsid w:val="193366AE"/>
    <w:rsid w:val="1C2858A6"/>
    <w:rsid w:val="1CC5655E"/>
    <w:rsid w:val="216545EE"/>
    <w:rsid w:val="22327438"/>
    <w:rsid w:val="229E0F05"/>
    <w:rsid w:val="25A465DC"/>
    <w:rsid w:val="26BA61E0"/>
    <w:rsid w:val="2824581C"/>
    <w:rsid w:val="28EA15CC"/>
    <w:rsid w:val="28F337C0"/>
    <w:rsid w:val="29F90B7E"/>
    <w:rsid w:val="2A0C130E"/>
    <w:rsid w:val="2B02380D"/>
    <w:rsid w:val="2C721D95"/>
    <w:rsid w:val="2EB0599B"/>
    <w:rsid w:val="2F150A09"/>
    <w:rsid w:val="2F545DA8"/>
    <w:rsid w:val="301F4832"/>
    <w:rsid w:val="30CC08A5"/>
    <w:rsid w:val="33BC27EC"/>
    <w:rsid w:val="362550E8"/>
    <w:rsid w:val="36C13CCD"/>
    <w:rsid w:val="377E7D50"/>
    <w:rsid w:val="3C764667"/>
    <w:rsid w:val="3C8C5CE8"/>
    <w:rsid w:val="3E324EBC"/>
    <w:rsid w:val="3E735171"/>
    <w:rsid w:val="3E7A6B94"/>
    <w:rsid w:val="3F365FD1"/>
    <w:rsid w:val="4133156D"/>
    <w:rsid w:val="42551033"/>
    <w:rsid w:val="426D531F"/>
    <w:rsid w:val="428C6D7E"/>
    <w:rsid w:val="43A07C24"/>
    <w:rsid w:val="44452D18"/>
    <w:rsid w:val="4507115B"/>
    <w:rsid w:val="48510E23"/>
    <w:rsid w:val="48B21FE6"/>
    <w:rsid w:val="4ABA0D57"/>
    <w:rsid w:val="4C455C43"/>
    <w:rsid w:val="4CAF0925"/>
    <w:rsid w:val="4E2400F1"/>
    <w:rsid w:val="4EE35C4D"/>
    <w:rsid w:val="51E429F9"/>
    <w:rsid w:val="52884844"/>
    <w:rsid w:val="52944CA2"/>
    <w:rsid w:val="567638D6"/>
    <w:rsid w:val="56D534EA"/>
    <w:rsid w:val="57254401"/>
    <w:rsid w:val="59A55F73"/>
    <w:rsid w:val="5B3C6F32"/>
    <w:rsid w:val="5BA06F6A"/>
    <w:rsid w:val="5BA55C2E"/>
    <w:rsid w:val="5E9309BC"/>
    <w:rsid w:val="62176FCA"/>
    <w:rsid w:val="63353D75"/>
    <w:rsid w:val="64414A95"/>
    <w:rsid w:val="677243C5"/>
    <w:rsid w:val="67EB185B"/>
    <w:rsid w:val="67FF7F93"/>
    <w:rsid w:val="68CB29DB"/>
    <w:rsid w:val="69591B97"/>
    <w:rsid w:val="6A662FF8"/>
    <w:rsid w:val="6C9B1F47"/>
    <w:rsid w:val="6CAD3891"/>
    <w:rsid w:val="6CDD7EC3"/>
    <w:rsid w:val="6D802F21"/>
    <w:rsid w:val="72E2790B"/>
    <w:rsid w:val="72EC46B2"/>
    <w:rsid w:val="743C692B"/>
    <w:rsid w:val="779E747F"/>
    <w:rsid w:val="78F70306"/>
    <w:rsid w:val="794B77B3"/>
    <w:rsid w:val="7B1A6F96"/>
    <w:rsid w:val="7D577ABF"/>
    <w:rsid w:val="7E6818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5"/>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50"/>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40"/>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1"/>
    <w:autoRedefine/>
    <w:semiHidden/>
    <w:qFormat/>
    <w:uiPriority w:val="99"/>
    <w:pPr>
      <w:shd w:val="clear" w:color="auto" w:fill="000080"/>
    </w:pPr>
  </w:style>
  <w:style w:type="paragraph" w:styleId="6">
    <w:name w:val="annotation text"/>
    <w:link w:val="45"/>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8"/>
    <w:autoRedefine/>
    <w:qFormat/>
    <w:uiPriority w:val="0"/>
    <w:pPr>
      <w:spacing w:after="120"/>
      <w:ind w:left="420" w:leftChars="200"/>
    </w:pPr>
    <w:rPr>
      <w:lang w:val="zh-CN"/>
    </w:rPr>
  </w:style>
  <w:style w:type="paragraph" w:styleId="8">
    <w:name w:val="Plain Text"/>
    <w:basedOn w:val="1"/>
    <w:link w:val="42"/>
    <w:autoRedefine/>
    <w:unhideWhenUsed/>
    <w:qFormat/>
    <w:uiPriority w:val="0"/>
    <w:rPr>
      <w:rFonts w:ascii="宋体" w:hAnsi="Courier New" w:cs="Courier New"/>
      <w:szCs w:val="21"/>
    </w:rPr>
  </w:style>
  <w:style w:type="paragraph" w:styleId="9">
    <w:name w:val="Date"/>
    <w:basedOn w:val="1"/>
    <w:next w:val="1"/>
    <w:link w:val="34"/>
    <w:autoRedefine/>
    <w:qFormat/>
    <w:uiPriority w:val="99"/>
    <w:rPr>
      <w:rFonts w:ascii="宋体"/>
      <w:sz w:val="24"/>
    </w:rPr>
  </w:style>
  <w:style w:type="paragraph" w:styleId="10">
    <w:name w:val="Body Text Indent 2"/>
    <w:basedOn w:val="1"/>
    <w:link w:val="33"/>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9"/>
    <w:autoRedefine/>
    <w:semiHidden/>
    <w:qFormat/>
    <w:uiPriority w:val="99"/>
    <w:rPr>
      <w:sz w:val="18"/>
      <w:szCs w:val="18"/>
    </w:rPr>
  </w:style>
  <w:style w:type="paragraph" w:styleId="12">
    <w:name w:val="footer"/>
    <w:basedOn w:val="1"/>
    <w:link w:val="46"/>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4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7"/>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8">
    <w:name w:val="Normal (Web)"/>
    <w:basedOn w:val="1"/>
    <w:semiHidden/>
    <w:unhideWhenUsed/>
    <w:qFormat/>
    <w:uiPriority w:val="99"/>
    <w:rPr>
      <w:sz w:val="24"/>
    </w:rPr>
  </w:style>
  <w:style w:type="paragraph" w:styleId="19">
    <w:name w:val="annotation subject"/>
    <w:basedOn w:val="6"/>
    <w:next w:val="6"/>
    <w:link w:val="44"/>
    <w:autoRedefine/>
    <w:unhideWhenUsed/>
    <w:qFormat/>
    <w:uiPriority w:val="99"/>
    <w:rPr>
      <w:b/>
      <w:bCs/>
    </w:rPr>
  </w:style>
  <w:style w:type="table" w:styleId="21">
    <w:name w:val="Table Grid"/>
    <w:basedOn w:val="2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autoRedefine/>
    <w:qFormat/>
    <w:uiPriority w:val="0"/>
  </w:style>
  <w:style w:type="character" w:styleId="24">
    <w:name w:val="Hyperlink"/>
    <w:basedOn w:val="22"/>
    <w:autoRedefine/>
    <w:unhideWhenUsed/>
    <w:qFormat/>
    <w:uiPriority w:val="99"/>
    <w:rPr>
      <w:color w:val="0000FF"/>
      <w:u w:val="single"/>
    </w:rPr>
  </w:style>
  <w:style w:type="character" w:styleId="25">
    <w:name w:val="annotation reference"/>
    <w:basedOn w:val="22"/>
    <w:autoRedefine/>
    <w:unhideWhenUsed/>
    <w:qFormat/>
    <w:uiPriority w:val="99"/>
    <w:rPr>
      <w:sz w:val="21"/>
      <w:szCs w:val="21"/>
    </w:rPr>
  </w:style>
  <w:style w:type="paragraph" w:customStyle="1" w:styleId="26">
    <w:name w:val="1"/>
    <w:basedOn w:val="1"/>
    <w:next w:val="7"/>
    <w:autoRedefine/>
    <w:qFormat/>
    <w:uiPriority w:val="0"/>
    <w:pPr>
      <w:snapToGrid w:val="0"/>
      <w:spacing w:line="560" w:lineRule="atLeast"/>
      <w:ind w:firstLine="630"/>
    </w:pPr>
    <w:rPr>
      <w:sz w:val="31"/>
    </w:rPr>
  </w:style>
  <w:style w:type="character" w:customStyle="1" w:styleId="27">
    <w:name w:val="Char"/>
    <w:autoRedefine/>
    <w:qFormat/>
    <w:uiPriority w:val="0"/>
    <w:rPr>
      <w:rFonts w:eastAsia="宋体"/>
      <w:kern w:val="2"/>
      <w:sz w:val="31"/>
      <w:lang w:val="en-US" w:eastAsia="zh-CN" w:bidi="ar-SA"/>
    </w:rPr>
  </w:style>
  <w:style w:type="character" w:customStyle="1" w:styleId="28">
    <w:name w:val="正文文本缩进 字符"/>
    <w:basedOn w:val="22"/>
    <w:link w:val="7"/>
    <w:autoRedefine/>
    <w:qFormat/>
    <w:uiPriority w:val="0"/>
    <w:rPr>
      <w:rFonts w:ascii="Times New Roman" w:hAnsi="Times New Roman" w:eastAsia="宋体" w:cs="Times New Roman"/>
      <w:szCs w:val="20"/>
      <w:lang w:val="zh-CN" w:eastAsia="zh-CN"/>
    </w:rPr>
  </w:style>
  <w:style w:type="character" w:customStyle="1" w:styleId="29">
    <w:name w:val="批注框文本 字符"/>
    <w:basedOn w:val="22"/>
    <w:link w:val="11"/>
    <w:autoRedefine/>
    <w:semiHidden/>
    <w:qFormat/>
    <w:uiPriority w:val="99"/>
    <w:rPr>
      <w:rFonts w:ascii="Times New Roman" w:hAnsi="Times New Roman" w:eastAsia="宋体" w:cs="Times New Roman"/>
      <w:sz w:val="18"/>
      <w:szCs w:val="18"/>
    </w:rPr>
  </w:style>
  <w:style w:type="character" w:customStyle="1" w:styleId="30">
    <w:name w:val="正文文本缩进 2 Char1"/>
    <w:basedOn w:val="22"/>
    <w:autoRedefine/>
    <w:qFormat/>
    <w:uiPriority w:val="99"/>
    <w:rPr>
      <w:rFonts w:ascii="Times New Roman" w:hAnsi="Times New Roman" w:eastAsia="宋体" w:cs="Times New Roman"/>
      <w:szCs w:val="20"/>
    </w:rPr>
  </w:style>
  <w:style w:type="character" w:customStyle="1" w:styleId="31">
    <w:name w:val="文档结构图 字符"/>
    <w:basedOn w:val="22"/>
    <w:link w:val="5"/>
    <w:autoRedefine/>
    <w:semiHidden/>
    <w:qFormat/>
    <w:uiPriority w:val="99"/>
    <w:rPr>
      <w:rFonts w:ascii="Times New Roman" w:hAnsi="Times New Roman" w:eastAsia="宋体" w:cs="Times New Roman"/>
      <w:szCs w:val="20"/>
      <w:shd w:val="clear" w:color="auto" w:fill="000080"/>
    </w:rPr>
  </w:style>
  <w:style w:type="paragraph" w:customStyle="1" w:styleId="32">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3">
    <w:name w:val="正文文本缩进 2 字符"/>
    <w:link w:val="10"/>
    <w:autoRedefine/>
    <w:qFormat/>
    <w:uiPriority w:val="0"/>
  </w:style>
  <w:style w:type="character" w:customStyle="1" w:styleId="34">
    <w:name w:val="日期 字符"/>
    <w:basedOn w:val="22"/>
    <w:link w:val="9"/>
    <w:autoRedefine/>
    <w:qFormat/>
    <w:uiPriority w:val="99"/>
    <w:rPr>
      <w:rFonts w:ascii="宋体" w:hAnsi="Times New Roman" w:eastAsia="宋体" w:cs="Times New Roman"/>
      <w:sz w:val="24"/>
      <w:szCs w:val="20"/>
    </w:rPr>
  </w:style>
  <w:style w:type="character" w:customStyle="1" w:styleId="35">
    <w:name w:val="标题 1 字符"/>
    <w:basedOn w:val="22"/>
    <w:link w:val="2"/>
    <w:autoRedefine/>
    <w:qFormat/>
    <w:uiPriority w:val="9"/>
    <w:rPr>
      <w:rFonts w:ascii="Calibri" w:hAnsi="Calibri" w:eastAsia="宋体" w:cs="Times New Roman"/>
      <w:b/>
      <w:bCs/>
      <w:kern w:val="44"/>
      <w:sz w:val="44"/>
      <w:szCs w:val="44"/>
    </w:rPr>
  </w:style>
  <w:style w:type="paragraph" w:customStyle="1" w:styleId="36">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7">
    <w:name w:val="正文文本缩进 3 字符"/>
    <w:link w:val="15"/>
    <w:autoRedefine/>
    <w:qFormat/>
    <w:locked/>
    <w:uiPriority w:val="0"/>
    <w:rPr>
      <w:sz w:val="16"/>
      <w:szCs w:val="16"/>
    </w:rPr>
  </w:style>
  <w:style w:type="paragraph" w:customStyle="1" w:styleId="38">
    <w:name w:val="修订1"/>
    <w:autoRedefine/>
    <w:hidden/>
    <w:semiHidden/>
    <w:qFormat/>
    <w:uiPriority w:val="99"/>
    <w:rPr>
      <w:rFonts w:ascii="Times New Roman" w:hAnsi="Times New Roman" w:eastAsia="宋体" w:cs="Times New Roman"/>
      <w:kern w:val="2"/>
      <w:sz w:val="21"/>
      <w:lang w:val="en-US" w:eastAsia="zh-CN" w:bidi="ar-SA"/>
    </w:rPr>
  </w:style>
  <w:style w:type="paragraph" w:styleId="39">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40">
    <w:name w:val="标题 3 字符"/>
    <w:basedOn w:val="22"/>
    <w:link w:val="4"/>
    <w:autoRedefine/>
    <w:qFormat/>
    <w:uiPriority w:val="9"/>
    <w:rPr>
      <w:rFonts w:ascii="Calibri" w:hAnsi="Calibri" w:eastAsia="宋体" w:cs="Times New Roman"/>
      <w:b/>
      <w:bCs/>
      <w:sz w:val="32"/>
      <w:szCs w:val="32"/>
    </w:rPr>
  </w:style>
  <w:style w:type="character" w:customStyle="1" w:styleId="41">
    <w:name w:val="页眉 字符"/>
    <w:basedOn w:val="22"/>
    <w:link w:val="13"/>
    <w:autoRedefine/>
    <w:qFormat/>
    <w:uiPriority w:val="99"/>
    <w:rPr>
      <w:rFonts w:ascii="Times New Roman" w:hAnsi="Times New Roman" w:eastAsia="宋体" w:cs="Times New Roman"/>
      <w:sz w:val="18"/>
      <w:szCs w:val="18"/>
    </w:rPr>
  </w:style>
  <w:style w:type="character" w:customStyle="1" w:styleId="42">
    <w:name w:val="纯文本 字符"/>
    <w:basedOn w:val="22"/>
    <w:link w:val="8"/>
    <w:autoRedefine/>
    <w:qFormat/>
    <w:uiPriority w:val="0"/>
    <w:rPr>
      <w:rFonts w:ascii="宋体" w:hAnsi="Courier New" w:eastAsia="宋体" w:cs="Courier New"/>
      <w:szCs w:val="21"/>
    </w:rPr>
  </w:style>
  <w:style w:type="paragraph" w:customStyle="1" w:styleId="43">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4">
    <w:name w:val="批注主题 字符"/>
    <w:basedOn w:val="45"/>
    <w:link w:val="19"/>
    <w:autoRedefine/>
    <w:qFormat/>
    <w:uiPriority w:val="99"/>
    <w:rPr>
      <w:rFonts w:ascii="Calibri" w:hAnsi="Calibri" w:eastAsia="宋体" w:cs="Times New Roman"/>
      <w:b/>
      <w:bCs/>
    </w:rPr>
  </w:style>
  <w:style w:type="character" w:customStyle="1" w:styleId="45">
    <w:name w:val="批注文字 字符"/>
    <w:basedOn w:val="22"/>
    <w:link w:val="6"/>
    <w:autoRedefine/>
    <w:qFormat/>
    <w:uiPriority w:val="99"/>
    <w:rPr>
      <w:rFonts w:ascii="Calibri" w:hAnsi="Calibri" w:eastAsia="宋体" w:cs="Times New Roman"/>
    </w:rPr>
  </w:style>
  <w:style w:type="character" w:customStyle="1" w:styleId="46">
    <w:name w:val="页脚 字符"/>
    <w:basedOn w:val="22"/>
    <w:link w:val="12"/>
    <w:autoRedefine/>
    <w:qFormat/>
    <w:uiPriority w:val="99"/>
    <w:rPr>
      <w:rFonts w:ascii="Times New Roman" w:hAnsi="Times New Roman" w:eastAsia="宋体" w:cs="Times New Roman"/>
      <w:kern w:val="2"/>
      <w:sz w:val="18"/>
    </w:rPr>
  </w:style>
  <w:style w:type="character" w:customStyle="1" w:styleId="47">
    <w:name w:val="正文文本缩进 3 Char1"/>
    <w:basedOn w:val="22"/>
    <w:autoRedefine/>
    <w:qFormat/>
    <w:uiPriority w:val="99"/>
    <w:rPr>
      <w:rFonts w:ascii="Times New Roman" w:hAnsi="Times New Roman" w:eastAsia="宋体" w:cs="Times New Roman"/>
      <w:sz w:val="16"/>
      <w:szCs w:val="16"/>
    </w:rPr>
  </w:style>
  <w:style w:type="paragraph" w:customStyle="1" w:styleId="48">
    <w:name w:val="p0"/>
    <w:basedOn w:val="1"/>
    <w:autoRedefine/>
    <w:qFormat/>
    <w:uiPriority w:val="0"/>
    <w:pPr>
      <w:widowControl/>
    </w:pPr>
    <w:rPr>
      <w:kern w:val="0"/>
      <w:szCs w:val="21"/>
    </w:rPr>
  </w:style>
  <w:style w:type="paragraph" w:customStyle="1" w:styleId="49">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50">
    <w:name w:val="标题 2 字符"/>
    <w:basedOn w:val="22"/>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3961</Words>
  <Characters>5671</Characters>
  <TotalTime>11</TotalTime>
  <ScaleCrop>false</ScaleCrop>
  <LinksUpToDate>false</LinksUpToDate>
  <CharactersWithSpaces>5854</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2024-06-27T05:50:00Z</cp:lastPrinted>
  <dcterms:modified xsi:type="dcterms:W3CDTF">2024-09-09T02:18:08Z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480C1C6328C347E49058F9AA897BBB34_12</vt:lpwstr>
  </property>
</Properties>
</file>