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3B0E00">
      <w:pPr>
        <w:pStyle w:val="2"/>
        <w:jc w:val="center"/>
        <w:rPr>
          <w:color w:val="auto"/>
        </w:rPr>
      </w:pPr>
      <w:r>
        <w:rPr>
          <w:rFonts w:hint="eastAsia"/>
          <w:color w:val="auto"/>
          <w:spacing w:val="1"/>
          <w:w w:val="96"/>
          <w:kern w:val="0"/>
          <w:fitText w:val="9360" w:id="1424753740"/>
          <w:lang w:val="en-US" w:eastAsia="zh-CN"/>
        </w:rPr>
        <w:t>中山大学来华留学研究生</w:t>
      </w:r>
      <w:r>
        <w:rPr>
          <w:color w:val="auto"/>
          <w:spacing w:val="1"/>
          <w:w w:val="96"/>
          <w:kern w:val="0"/>
          <w:fitText w:val="9360" w:id="1424753740"/>
        </w:rPr>
        <w:t>《汉语》《中国概况》免修申请规</w:t>
      </w:r>
      <w:r>
        <w:rPr>
          <w:color w:val="auto"/>
          <w:spacing w:val="7"/>
          <w:w w:val="96"/>
          <w:kern w:val="0"/>
          <w:fitText w:val="9360" w:id="1424753740"/>
        </w:rPr>
        <w:t>定</w:t>
      </w:r>
      <w:r>
        <w:rPr>
          <w:rFonts w:hint="eastAsia" w:ascii="仿宋" w:hAnsi="仿宋" w:eastAsia="仿宋" w:cs="仿宋"/>
          <w:b w:val="0"/>
          <w:bCs w:val="0"/>
          <w:snapToGrid w:val="0"/>
          <w:color w:val="auto"/>
          <w:spacing w:val="-8"/>
          <w:sz w:val="31"/>
          <w:szCs w:val="31"/>
          <w:lang w:val="en-US" w:eastAsia="zh-CN" w:bidi="ar-SA"/>
        </w:rPr>
        <w:t>（2025学年秋季学期）
</w:t>
      </w:r>
    </w:p>
    <w:p w14:paraId="5DD0CBBE">
      <w:pPr>
        <w:pStyle w:val="18"/>
        <w:rPr>
          <w:color w:val="auto"/>
        </w:rPr>
      </w:pPr>
      <w:r>
        <w:rPr>
          <w:color w:val="auto"/>
        </w:rPr>
        <w:t>根据</w:t>
      </w:r>
      <w:r>
        <w:rPr>
          <w:rFonts w:hint="eastAsia"/>
          <w:color w:val="auto"/>
          <w:lang w:eastAsia="zh-CN"/>
        </w:rPr>
        <w:t>《</w:t>
      </w:r>
      <w:r>
        <w:rPr>
          <w:color w:val="auto"/>
        </w:rPr>
        <w:t>中山大学</w:t>
      </w:r>
      <w:r>
        <w:rPr>
          <w:rFonts w:hint="eastAsia"/>
          <w:color w:val="auto"/>
          <w:lang w:val="en-US" w:eastAsia="zh-CN"/>
        </w:rPr>
        <w:t>关于来华</w:t>
      </w:r>
      <w:r>
        <w:rPr>
          <w:color w:val="auto"/>
        </w:rPr>
        <w:t>留</w:t>
      </w:r>
      <w:r>
        <w:rPr>
          <w:rFonts w:hint="eastAsia"/>
          <w:color w:val="auto"/>
          <w:lang w:val="en-US" w:eastAsia="zh-CN"/>
        </w:rPr>
        <w:t>研究生</w:t>
      </w:r>
      <w:r>
        <w:rPr>
          <w:color w:val="auto"/>
        </w:rPr>
        <w:t>培养</w:t>
      </w:r>
      <w:r>
        <w:rPr>
          <w:rFonts w:hint="eastAsia"/>
          <w:color w:val="auto"/>
          <w:lang w:val="en-US" w:eastAsia="zh-CN"/>
        </w:rPr>
        <w:t>工作的</w:t>
      </w:r>
      <w:r>
        <w:rPr>
          <w:color w:val="auto"/>
        </w:rPr>
        <w:t>规定</w:t>
      </w:r>
      <w:r>
        <w:rPr>
          <w:rFonts w:hint="eastAsia"/>
          <w:color w:val="auto"/>
          <w:lang w:eastAsia="zh-CN"/>
        </w:rPr>
        <w:t>》</w:t>
      </w:r>
      <w:r>
        <w:rPr>
          <w:color w:val="auto"/>
        </w:rPr>
        <w:t>，</w:t>
      </w:r>
      <w:r>
        <w:rPr>
          <w:rFonts w:hint="eastAsia"/>
          <w:color w:val="auto"/>
          <w:spacing w:val="-8"/>
          <w:lang w:val="en-US" w:eastAsia="zh-CN"/>
        </w:rPr>
        <w:t>在我校攻读博士、硕士学位的</w:t>
      </w:r>
      <w:r>
        <w:rPr>
          <w:color w:val="auto"/>
          <w:spacing w:val="-8"/>
          <w:lang w:eastAsia="zh-CN"/>
        </w:rPr>
        <w:t>留学</w:t>
      </w:r>
      <w:r>
        <w:rPr>
          <w:rFonts w:hint="eastAsia"/>
          <w:color w:val="auto"/>
          <w:spacing w:val="-8"/>
          <w:lang w:val="en-US" w:eastAsia="zh-CN"/>
        </w:rPr>
        <w:t>研究生须</w:t>
      </w:r>
      <w:r>
        <w:rPr>
          <w:color w:val="auto"/>
          <w:spacing w:val="-8"/>
          <w:lang w:eastAsia="zh-CN"/>
        </w:rPr>
        <w:t>修读公共必修课《汉语》</w:t>
      </w:r>
      <w:r>
        <w:rPr>
          <w:rFonts w:hint="eastAsia"/>
          <w:color w:val="auto"/>
          <w:spacing w:val="-8"/>
          <w:lang w:eastAsia="zh-CN"/>
        </w:rPr>
        <w:t>（</w:t>
      </w:r>
      <w:r>
        <w:rPr>
          <w:rFonts w:hint="eastAsia"/>
          <w:color w:val="auto"/>
          <w:spacing w:val="-8"/>
          <w:lang w:val="en-US" w:eastAsia="zh-CN"/>
        </w:rPr>
        <w:t>5学分）</w:t>
      </w:r>
      <w:r>
        <w:rPr>
          <w:color w:val="auto"/>
          <w:spacing w:val="-8"/>
          <w:lang w:eastAsia="zh-CN"/>
        </w:rPr>
        <w:t>和《中国概况》</w:t>
      </w:r>
      <w:r>
        <w:rPr>
          <w:rFonts w:hint="eastAsia"/>
          <w:color w:val="auto"/>
          <w:spacing w:val="-8"/>
          <w:lang w:eastAsia="zh-CN"/>
        </w:rPr>
        <w:t>（</w:t>
      </w:r>
      <w:r>
        <w:rPr>
          <w:rFonts w:hint="eastAsia"/>
          <w:color w:val="auto"/>
          <w:spacing w:val="-8"/>
          <w:lang w:val="en-US" w:eastAsia="zh-CN"/>
        </w:rPr>
        <w:t>3学分）</w:t>
      </w:r>
      <w:r>
        <w:rPr>
          <w:color w:val="auto"/>
        </w:rPr>
        <w:t xml:space="preserve">，现就 2025 </w:t>
      </w:r>
      <w:r>
        <w:rPr>
          <w:rFonts w:hint="eastAsia"/>
          <w:color w:val="auto"/>
          <w:lang w:val="en-US" w:eastAsia="zh-CN"/>
        </w:rPr>
        <w:t>学</w:t>
      </w:r>
      <w:r>
        <w:rPr>
          <w:color w:val="auto"/>
        </w:rPr>
        <w:t>年秋季学期上述课程免修申请事宜通知如下：
</w:t>
      </w:r>
    </w:p>
    <w:p w14:paraId="1254DFC1">
      <w:pPr>
        <w:pStyle w:val="3"/>
        <w:rPr>
          <w:color w:val="auto"/>
        </w:rPr>
      </w:pPr>
      <w:r>
        <w:rPr>
          <w:color w:val="auto"/>
        </w:rPr>
        <w:t>一、免修条件
</w:t>
      </w:r>
    </w:p>
    <w:p w14:paraId="1C519760">
      <w:pPr>
        <w:pStyle w:val="18"/>
        <w:numPr>
          <w:ilvl w:val="0"/>
          <w:numId w:val="1"/>
        </w:numPr>
        <w:rPr>
          <w:color w:val="auto"/>
        </w:rPr>
      </w:pPr>
      <w:r>
        <w:rPr>
          <w:color w:val="auto"/>
        </w:rPr>
        <w:t>在我国取得本科或硕士学位的</w:t>
      </w:r>
      <w:r>
        <w:rPr>
          <w:rFonts w:hint="eastAsia"/>
          <w:color w:val="auto"/>
          <w:lang w:eastAsia="zh-CN"/>
        </w:rPr>
        <w:t>来华留学研究生</w:t>
      </w:r>
      <w:r>
        <w:rPr>
          <w:color w:val="auto"/>
        </w:rPr>
        <w:t>，《中国概况》和</w:t>
      </w: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课程可免修，但须参加期末考试，总评成绩以期末考试卷面成绩为准。
</w:t>
      </w:r>
    </w:p>
    <w:p w14:paraId="62ED064E">
      <w:pPr>
        <w:pStyle w:val="18"/>
        <w:numPr>
          <w:ilvl w:val="0"/>
          <w:numId w:val="1"/>
        </w:numPr>
        <w:rPr>
          <w:color w:val="auto"/>
        </w:rPr>
      </w:pPr>
      <w:r>
        <w:rPr>
          <w:color w:val="auto"/>
        </w:rPr>
        <w:t>在我校取得本科学位后攻读硕士、博士学位的</w:t>
      </w:r>
      <w:r>
        <w:rPr>
          <w:rFonts w:hint="eastAsia"/>
          <w:color w:val="auto"/>
          <w:lang w:eastAsia="zh-CN"/>
        </w:rPr>
        <w:t>来华留学研究生</w:t>
      </w:r>
      <w:r>
        <w:rPr>
          <w:color w:val="auto"/>
        </w:rPr>
        <w:t>：
</w:t>
      </w:r>
    </w:p>
    <w:p w14:paraId="7418C58F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《中国概况》按本科阶段考试成绩登记；
</w:t>
      </w:r>
    </w:p>
    <w:p w14:paraId="40D8463D">
      <w:pPr>
        <w:pStyle w:val="18"/>
        <w:numPr>
          <w:ilvl w:val="1"/>
          <w:numId w:val="2"/>
        </w:numPr>
        <w:rPr>
          <w:color w:val="auto"/>
        </w:rPr>
      </w:pP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按本科阶段</w:t>
      </w:r>
      <w:r>
        <w:rPr>
          <w:rFonts w:hint="eastAsia"/>
          <w:color w:val="auto"/>
          <w:lang w:eastAsia="zh-CN"/>
        </w:rPr>
        <w:t>《</w:t>
      </w:r>
      <w:r>
        <w:rPr>
          <w:rFonts w:hint="eastAsia"/>
          <w:color w:val="auto"/>
          <w:lang w:val="en-US" w:eastAsia="zh-CN"/>
        </w:rPr>
        <w:t>高级</w:t>
      </w:r>
      <w:r>
        <w:rPr>
          <w:rFonts w:hint="eastAsia"/>
          <w:color w:val="auto"/>
          <w:lang w:eastAsia="zh-CN"/>
        </w:rPr>
        <w:t>汉语》</w:t>
      </w:r>
      <w:r>
        <w:rPr>
          <w:color w:val="auto"/>
        </w:rPr>
        <w:t>考试成绩登记；若本科阶段修读的是《中级汉语》，则</w:t>
      </w: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可免修，但须参加期末考试，总评成绩以期末考试卷面成绩为准。
</w:t>
      </w:r>
    </w:p>
    <w:p w14:paraId="5E6D0421">
      <w:pPr>
        <w:pStyle w:val="18"/>
        <w:numPr>
          <w:ilvl w:val="0"/>
          <w:numId w:val="3"/>
        </w:numPr>
        <w:rPr>
          <w:color w:val="auto"/>
        </w:rPr>
      </w:pPr>
      <w:r>
        <w:rPr>
          <w:color w:val="auto"/>
        </w:rPr>
        <w:t>在我校取得硕士学位后攻读博士学位的</w:t>
      </w:r>
      <w:r>
        <w:rPr>
          <w:rFonts w:hint="eastAsia"/>
          <w:color w:val="auto"/>
          <w:lang w:eastAsia="zh-CN"/>
        </w:rPr>
        <w:t>来华留学研究生</w:t>
      </w:r>
      <w:r>
        <w:rPr>
          <w:color w:val="auto"/>
        </w:rPr>
        <w:t>，《中国概况》和</w:t>
      </w: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课程可免修，按硕士阶段考试成绩登记。
</w:t>
      </w:r>
    </w:p>
    <w:p w14:paraId="43A92F88">
      <w:pPr>
        <w:pStyle w:val="18"/>
        <w:numPr>
          <w:ilvl w:val="0"/>
          <w:numId w:val="3"/>
        </w:numPr>
        <w:rPr>
          <w:color w:val="auto"/>
        </w:rPr>
      </w:pPr>
      <w:r>
        <w:rPr>
          <w:color w:val="auto"/>
        </w:rPr>
        <w:t>通过新 HSK6 级考试且总分≥180 分的学生，可申请免修</w:t>
      </w: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，但须参加期末考试，总评成绩以期末考试卷面成绩为准；学生不</w:t>
      </w:r>
      <w:r>
        <w:rPr>
          <w:rFonts w:hint="eastAsia"/>
          <w:color w:val="auto"/>
          <w:lang w:val="en-US" w:eastAsia="zh-CN"/>
        </w:rPr>
        <w:t>能</w:t>
      </w:r>
      <w:r>
        <w:rPr>
          <w:color w:val="auto"/>
        </w:rPr>
        <w:t>以 HSK 成绩为由，申请免修《中国概况》。
</w:t>
      </w:r>
    </w:p>
    <w:p w14:paraId="2F2B1BDA">
      <w:pPr>
        <w:pStyle w:val="3"/>
        <w:rPr>
          <w:color w:val="auto"/>
        </w:rPr>
      </w:pPr>
      <w:r>
        <w:rPr>
          <w:rFonts w:hint="eastAsia"/>
          <w:color w:val="auto"/>
          <w:lang w:val="en-US" w:eastAsia="zh-CN"/>
        </w:rPr>
        <w:t>二</w:t>
      </w:r>
      <w:r>
        <w:rPr>
          <w:color w:val="auto"/>
        </w:rPr>
        <w:t>、免修申请类型及流程
</w:t>
      </w:r>
    </w:p>
    <w:p w14:paraId="77EB8504">
      <w:pPr>
        <w:pStyle w:val="18"/>
        <w:numPr>
          <w:ilvl w:val="0"/>
          <w:numId w:val="0"/>
        </w:numPr>
        <w:ind w:leftChars="0"/>
        <w:rPr>
          <w:rFonts w:hint="eastAsia"/>
          <w:color w:val="auto"/>
        </w:rPr>
      </w:pPr>
      <w:r>
        <w:rPr>
          <w:color w:val="auto"/>
        </w:rPr>
        <w:t>符合免修</w:t>
      </w:r>
      <w:r>
        <w:rPr>
          <w:rFonts w:hint="eastAsia"/>
          <w:color w:val="auto"/>
          <w:lang w:val="en-US" w:eastAsia="zh-CN"/>
        </w:rPr>
        <w:t>不免考</w:t>
      </w:r>
      <w:r>
        <w:rPr>
          <w:color w:val="auto"/>
        </w:rPr>
        <w:t>条件者，须在公共课选课时段内，登录我校研究生教育管理服务平台（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"https://cms.sysu.edu.cn/" </w:instrText>
      </w:r>
      <w:r>
        <w:rPr>
          <w:color w:val="auto"/>
        </w:rPr>
        <w:fldChar w:fldCharType="separate"/>
      </w:r>
      <w:r>
        <w:rPr>
          <w:rStyle w:val="14"/>
          <w:color w:val="auto"/>
        </w:rPr>
        <w:t>https://cms.sysu.edu.cn/</w:t>
      </w:r>
      <w:r>
        <w:rPr>
          <w:rStyle w:val="14"/>
          <w:color w:val="auto"/>
        </w:rPr>
        <w:fldChar w:fldCharType="end"/>
      </w:r>
      <w:r>
        <w:rPr>
          <w:color w:val="auto"/>
        </w:rPr>
        <w:t>）选修对应课程，在研究生教育管理服务平台</w:t>
      </w:r>
      <w:r>
        <w:rPr>
          <w:rFonts w:hint="eastAsia"/>
          <w:color w:val="auto"/>
          <w:lang w:val="en-US" w:eastAsia="zh-CN"/>
        </w:rPr>
        <w:t>上传相关证明</w:t>
      </w:r>
      <w:r>
        <w:rPr>
          <w:color w:val="auto"/>
        </w:rPr>
        <w:t>材料</w:t>
      </w:r>
      <w:r>
        <w:rPr>
          <w:rFonts w:hint="eastAsia"/>
          <w:color w:val="auto"/>
          <w:lang w:val="en-US" w:eastAsia="zh-CN"/>
        </w:rPr>
        <w:t>的扫描件并</w:t>
      </w:r>
      <w:r>
        <w:rPr>
          <w:color w:val="auto"/>
        </w:rPr>
        <w:t>提交</w:t>
      </w:r>
      <w:r>
        <w:rPr>
          <w:rFonts w:hint="eastAsia"/>
          <w:color w:val="auto"/>
          <w:lang w:val="en-US" w:eastAsia="zh-CN"/>
        </w:rPr>
        <w:t>免修</w:t>
      </w:r>
      <w:r>
        <w:rPr>
          <w:color w:val="auto"/>
        </w:rPr>
        <w:t>申请。
</w:t>
      </w:r>
      <w:r>
        <w:rPr>
          <w:rFonts w:hint="eastAsia"/>
          <w:color w:val="auto"/>
        </w:rPr>
        <w:t>逾期不予办理。</w:t>
      </w:r>
    </w:p>
    <w:p w14:paraId="13335F7E">
      <w:pPr>
        <w:pStyle w:val="18"/>
        <w:numPr>
          <w:ilvl w:val="0"/>
          <w:numId w:val="0"/>
        </w:numPr>
        <w:ind w:leftChars="0"/>
        <w:rPr>
          <w:rFonts w:hint="eastAsia"/>
          <w:color w:val="auto"/>
        </w:rPr>
      </w:pPr>
      <w:r>
        <w:rPr>
          <w:rFonts w:hint="eastAsia"/>
          <w:color w:val="auto"/>
          <w:lang w:val="en-US" w:eastAsia="zh-CN"/>
        </w:rPr>
        <w:t>符合免修免考条件者，须</w:t>
      </w:r>
      <w:r>
        <w:rPr>
          <w:color w:val="auto"/>
        </w:rPr>
        <w:t>在公共课选课时段内，登录我校研究生教育管理服务平台（</w:t>
      </w:r>
      <w:r>
        <w:rPr>
          <w:color w:val="auto"/>
        </w:rPr>
        <w:fldChar w:fldCharType="begin"/>
      </w:r>
      <w:r>
        <w:rPr>
          <w:color w:val="auto"/>
        </w:rPr>
        <w:instrText xml:space="preserve"> HYPERLINK "https://cms.sysu.edu.cn/" </w:instrText>
      </w:r>
      <w:r>
        <w:rPr>
          <w:color w:val="auto"/>
        </w:rPr>
        <w:fldChar w:fldCharType="separate"/>
      </w:r>
      <w:r>
        <w:rPr>
          <w:rStyle w:val="14"/>
          <w:color w:val="auto"/>
        </w:rPr>
        <w:t>https://cms.sysu.edu.cn/</w:t>
      </w:r>
      <w:r>
        <w:rPr>
          <w:rStyle w:val="14"/>
          <w:color w:val="auto"/>
        </w:rPr>
        <w:fldChar w:fldCharType="end"/>
      </w:r>
      <w:r>
        <w:rPr>
          <w:color w:val="auto"/>
        </w:rPr>
        <w:t>）</w:t>
      </w:r>
      <w:r>
        <w:rPr>
          <w:rFonts w:hint="eastAsia"/>
          <w:color w:val="auto"/>
          <w:lang w:val="en-US" w:eastAsia="zh-CN"/>
        </w:rPr>
        <w:t>上传相关证明</w:t>
      </w:r>
      <w:r>
        <w:rPr>
          <w:color w:val="auto"/>
        </w:rPr>
        <w:t>材料</w:t>
      </w:r>
      <w:r>
        <w:rPr>
          <w:rFonts w:hint="eastAsia"/>
          <w:color w:val="auto"/>
          <w:lang w:val="en-US" w:eastAsia="zh-CN"/>
        </w:rPr>
        <w:t>的扫描件并</w:t>
      </w:r>
      <w:r>
        <w:rPr>
          <w:color w:val="auto"/>
        </w:rPr>
        <w:t>提交</w:t>
      </w:r>
      <w:r>
        <w:rPr>
          <w:rFonts w:hint="eastAsia"/>
          <w:color w:val="auto"/>
          <w:lang w:val="en-US" w:eastAsia="zh-CN"/>
        </w:rPr>
        <w:t>免修</w:t>
      </w:r>
      <w:r>
        <w:rPr>
          <w:color w:val="auto"/>
        </w:rPr>
        <w:t>申请</w:t>
      </w:r>
      <w:r>
        <w:rPr>
          <w:rFonts w:hint="eastAsia"/>
          <w:color w:val="auto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无须另行选课</w:t>
      </w:r>
      <w:r>
        <w:rPr>
          <w:color w:val="auto"/>
        </w:rPr>
        <w:t>。
</w:t>
      </w:r>
      <w:r>
        <w:rPr>
          <w:rFonts w:hint="eastAsia"/>
          <w:color w:val="auto"/>
        </w:rPr>
        <w:t>逾期不予办理。</w:t>
      </w:r>
    </w:p>
    <w:p w14:paraId="16CC5F50">
      <w:pPr>
        <w:pStyle w:val="18"/>
        <w:numPr>
          <w:ilvl w:val="0"/>
          <w:numId w:val="0"/>
        </w:numPr>
        <w:ind w:leftChars="0"/>
        <w:rPr>
          <w:color w:val="auto"/>
        </w:rPr>
      </w:pPr>
    </w:p>
    <w:p w14:paraId="654CAF1C">
      <w:pPr>
        <w:pStyle w:val="18"/>
        <w:numPr>
          <w:ilvl w:val="0"/>
          <w:numId w:val="4"/>
        </w:numPr>
        <w:rPr>
          <w:color w:val="auto"/>
        </w:rPr>
      </w:pPr>
      <w:r>
        <w:rPr>
          <w:b/>
          <w:bCs/>
          <w:color w:val="auto"/>
        </w:rPr>
        <w:t>免修不免考（</w:t>
      </w:r>
      <w:r>
        <w:rPr>
          <w:rFonts w:hint="eastAsia"/>
          <w:b/>
          <w:bCs/>
          <w:color w:val="auto"/>
          <w:lang w:val="en-US" w:eastAsia="zh-CN"/>
        </w:rPr>
        <w:t>按</w:t>
      </w:r>
      <w:r>
        <w:rPr>
          <w:b/>
          <w:bCs/>
          <w:color w:val="auto"/>
        </w:rPr>
        <w:t xml:space="preserve"> “其他专业课” 类型</w:t>
      </w:r>
      <w:r>
        <w:rPr>
          <w:rFonts w:hint="eastAsia"/>
          <w:b/>
          <w:bCs/>
          <w:color w:val="auto"/>
          <w:lang w:val="en-US" w:eastAsia="zh-CN"/>
        </w:rPr>
        <w:t>进行申请</w:t>
      </w:r>
      <w:r>
        <w:rPr>
          <w:b/>
          <w:bCs/>
          <w:color w:val="auto"/>
        </w:rPr>
        <w:t>）</w:t>
      </w:r>
      <w:r>
        <w:rPr>
          <w:color w:val="auto"/>
        </w:rPr>
        <w:t>：
</w:t>
      </w:r>
    </w:p>
    <w:p w14:paraId="62FAAD5D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适用情况：符合免修条件但须参加期末考试的学生（如通过 HSK6 级、本科阶段修读《中级汉语》等情况）。
</w:t>
      </w:r>
    </w:p>
    <w:p w14:paraId="6AFC07A7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申请路径：登录研究生教育管理服务平台，在【培养管理】-【我的免修申请】中，按课程代码搜索对应课程，选择 “其他专业课” 类型提交申请。
</w:t>
      </w:r>
    </w:p>
    <w:p w14:paraId="742D7803">
      <w:pPr>
        <w:pStyle w:val="18"/>
        <w:numPr>
          <w:ilvl w:val="1"/>
          <w:numId w:val="2"/>
        </w:numPr>
        <w:rPr>
          <w:rFonts w:hint="eastAsia"/>
          <w:b/>
          <w:bCs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附件材料要求：</w:t>
      </w:r>
    </w:p>
    <w:p w14:paraId="5902C921">
      <w:pPr>
        <w:pStyle w:val="18"/>
        <w:numPr>
          <w:ilvl w:val="1"/>
          <w:numId w:val="2"/>
        </w:numPr>
        <w:rPr>
          <w:rFonts w:hint="eastAsia"/>
          <w:color w:val="auto"/>
          <w:lang w:val="en-US" w:eastAsia="zh-CN"/>
        </w:rPr>
      </w:pPr>
      <w:r>
        <w:rPr>
          <w:color w:val="auto"/>
        </w:rPr>
        <w:t>经所在学院或导师审核签字盖章的《中山大学学历留学生课程免修申请表》扫描件；</w:t>
      </w:r>
    </w:p>
    <w:p w14:paraId="048AE036">
      <w:pPr>
        <w:pStyle w:val="18"/>
        <w:numPr>
          <w:ilvl w:val="1"/>
          <w:numId w:val="2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若为通过 HSK6 级的学生，需提供 HSK6 级成绩证书扫描件；</w:t>
      </w:r>
    </w:p>
    <w:p w14:paraId="75F8D3A1">
      <w:pPr>
        <w:pStyle w:val="18"/>
        <w:numPr>
          <w:ilvl w:val="1"/>
          <w:numId w:val="2"/>
        </w:numPr>
        <w:rPr>
          <w:rFonts w:hint="eastAsia"/>
          <w:color w:val="auto"/>
          <w:lang w:val="en-US" w:eastAsia="zh-CN"/>
        </w:rPr>
      </w:pPr>
      <w:r>
        <w:rPr>
          <w:rFonts w:hint="eastAsia"/>
          <w:color w:val="auto"/>
          <w:lang w:val="en-US" w:eastAsia="zh-CN"/>
        </w:rPr>
        <w:t>若为本科阶段修读《中级汉语》的学生，需提供本科阶段《中级汉语》课程成绩单扫描件；</w:t>
      </w:r>
    </w:p>
    <w:p w14:paraId="79392914">
      <w:pPr>
        <w:pStyle w:val="18"/>
        <w:numPr>
          <w:ilvl w:val="1"/>
          <w:numId w:val="2"/>
        </w:numPr>
        <w:rPr>
          <w:color w:val="auto"/>
        </w:rPr>
      </w:pPr>
      <w:r>
        <w:rPr>
          <w:rFonts w:hint="eastAsia"/>
          <w:color w:val="auto"/>
          <w:lang w:val="en-US" w:eastAsia="zh-CN"/>
        </w:rPr>
        <w:t>其他符合免修不免考条件的情况，需提供对应的证明材料扫描件（如在我国取得本科或硕士学位的相关学位证书及成绩单扫描件等）。</w:t>
      </w:r>
      <w:r>
        <w:rPr>
          <w:color w:val="auto"/>
        </w:rPr>
        <w:t>
</w:t>
      </w:r>
    </w:p>
    <w:p w14:paraId="0BD94A6F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审核方式：按课程代码由开课单位（广州校区、深圳校区</w:t>
      </w:r>
      <w:r>
        <w:rPr>
          <w:rFonts w:hint="eastAsia"/>
          <w:color w:val="auto"/>
          <w:lang w:val="en-US" w:eastAsia="zh-CN"/>
        </w:rPr>
        <w:t>-《汉语》CH5001、《中国概况》CH5002</w:t>
      </w:r>
      <w:r>
        <w:rPr>
          <w:color w:val="auto"/>
        </w:rPr>
        <w:t>：中国语言文学系；珠海校区：国际翻译学院）审核。
</w:t>
      </w:r>
    </w:p>
    <w:p w14:paraId="480FC317">
      <w:pPr>
        <w:pStyle w:val="18"/>
        <w:numPr>
          <w:ilvl w:val="0"/>
          <w:numId w:val="3"/>
        </w:numPr>
        <w:rPr>
          <w:color w:val="auto"/>
        </w:rPr>
      </w:pPr>
      <w:r>
        <w:rPr>
          <w:b/>
          <w:bCs/>
          <w:color w:val="auto"/>
        </w:rPr>
        <w:t>免修免考（按 “本研贯通课” 类型</w:t>
      </w:r>
      <w:r>
        <w:rPr>
          <w:rFonts w:hint="eastAsia"/>
          <w:b/>
          <w:bCs/>
          <w:color w:val="auto"/>
          <w:lang w:val="en-US" w:eastAsia="zh-CN"/>
        </w:rPr>
        <w:t>进行申请</w:t>
      </w:r>
      <w:r>
        <w:rPr>
          <w:b/>
          <w:bCs/>
          <w:color w:val="auto"/>
        </w:rPr>
        <w:t>）</w:t>
      </w:r>
      <w:r>
        <w:rPr>
          <w:color w:val="auto"/>
        </w:rPr>
        <w:t>：
</w:t>
      </w:r>
    </w:p>
    <w:p w14:paraId="68DCBB7F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适用情况：符合免修且无需参加考试、按既往阶段成绩登记的学生（如我校本科 / 硕士毕业后攻读更高学位者，按本科 / 硕士阶段成绩登记）。
</w:t>
      </w:r>
    </w:p>
    <w:p w14:paraId="49AEDED0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申请路径：登录研究生教育管理服务平台，在【培养管理】-【我的免修申请】中，按课程代码搜索对应课程，选择 “本研贯通课” 类型提交申请。
</w:t>
      </w:r>
    </w:p>
    <w:p w14:paraId="7544C2B3">
      <w:pPr>
        <w:pStyle w:val="18"/>
        <w:numPr>
          <w:ilvl w:val="1"/>
          <w:numId w:val="2"/>
        </w:numPr>
        <w:rPr>
          <w:rFonts w:hint="eastAsia" w:ascii="Arial" w:hAnsi="Arial" w:cs="Arial"/>
          <w:color w:val="auto"/>
          <w:lang w:val="en-US" w:eastAsia="zh-CN"/>
        </w:rPr>
      </w:pPr>
      <w:r>
        <w:rPr>
          <w:rFonts w:hint="eastAsia"/>
          <w:b/>
          <w:bCs/>
          <w:color w:val="auto"/>
          <w:lang w:val="en-US" w:eastAsia="zh-CN"/>
        </w:rPr>
        <w:t>附件材料要求：</w:t>
      </w:r>
    </w:p>
    <w:p w14:paraId="53CE5C7D">
      <w:pPr>
        <w:pStyle w:val="18"/>
        <w:numPr>
          <w:ilvl w:val="1"/>
          <w:numId w:val="2"/>
        </w:numPr>
        <w:rPr>
          <w:rFonts w:hint="eastAsia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经所在学院或导师审核签字盖章的《中山大学学历留学生课程免修申请表》扫描件；</w:t>
      </w:r>
    </w:p>
    <w:p w14:paraId="2B5DADC9">
      <w:pPr>
        <w:pStyle w:val="18"/>
        <w:numPr>
          <w:ilvl w:val="1"/>
          <w:numId w:val="2"/>
        </w:numPr>
        <w:rPr>
          <w:rFonts w:hint="eastAsia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若为在我校取得本科学位后攻读硕士、博士学位的学生，需提供本科阶段《中国概况》和《高级汉语》课程成绩单扫描件；</w:t>
      </w:r>
    </w:p>
    <w:p w14:paraId="01C8998A">
      <w:pPr>
        <w:pStyle w:val="18"/>
        <w:numPr>
          <w:ilvl w:val="1"/>
          <w:numId w:val="2"/>
        </w:numPr>
        <w:rPr>
          <w:rFonts w:hint="eastAsia" w:ascii="Arial" w:hAnsi="Arial" w:cs="Arial"/>
          <w:color w:val="auto"/>
          <w:lang w:val="en-US" w:eastAsia="zh-CN"/>
        </w:rPr>
      </w:pPr>
      <w:r>
        <w:rPr>
          <w:rFonts w:hint="eastAsia" w:ascii="Arial" w:hAnsi="Arial" w:cs="Arial"/>
          <w:color w:val="auto"/>
          <w:lang w:val="en-US" w:eastAsia="zh-CN"/>
        </w:rPr>
        <w:t>若为在我校取得硕士学位后攻读博士学位的学生，需提供硕士阶段《中国概况》和《汉语》课程成绩单扫描件。
</w:t>
      </w:r>
    </w:p>
    <w:p w14:paraId="278BEE47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学生申请时需录入本科或硕士阶段对应课程成绩，按课程代码由开课单位审核，审核通过后成绩同步至课程平台成绩库。
</w:t>
      </w:r>
    </w:p>
    <w:p w14:paraId="228C3940">
      <w:pPr>
        <w:pStyle w:val="18"/>
        <w:numPr>
          <w:ilvl w:val="1"/>
          <w:numId w:val="2"/>
        </w:numPr>
        <w:rPr>
          <w:color w:val="auto"/>
        </w:rPr>
      </w:pPr>
      <w:r>
        <w:rPr>
          <w:color w:val="auto"/>
        </w:rPr>
        <w:t>审核方式：按课程代码由开课单位（广州校区、深圳校区</w:t>
      </w:r>
      <w:r>
        <w:rPr>
          <w:rFonts w:hint="eastAsia"/>
          <w:color w:val="auto"/>
          <w:lang w:val="en-US" w:eastAsia="zh-CN"/>
        </w:rPr>
        <w:t>：《汉语》CH5001、《中国概况》CH5002-</w:t>
      </w:r>
      <w:r>
        <w:rPr>
          <w:color w:val="auto"/>
        </w:rPr>
        <w:t>中国语言文学系；珠海校区</w:t>
      </w:r>
      <w:r>
        <w:rPr>
          <w:rFonts w:hint="eastAsia"/>
          <w:color w:val="auto"/>
          <w:lang w:val="en-US" w:eastAsia="zh-CN"/>
        </w:rPr>
        <w:t>：</w:t>
      </w:r>
      <w:bookmarkStart w:id="0" w:name="_GoBack"/>
      <w:bookmarkEnd w:id="0"/>
      <w:r>
        <w:rPr>
          <w:rFonts w:hint="eastAsia"/>
          <w:color w:val="auto"/>
          <w:lang w:val="en-US" w:eastAsia="zh-CN"/>
        </w:rPr>
        <w:t>《汉语》</w:t>
      </w:r>
      <w:r>
        <w:rPr>
          <w:rFonts w:hint="eastAsia"/>
          <w:color w:val="auto"/>
          <w:lang w:eastAsia="zh-CN"/>
        </w:rPr>
        <w:t>IS5001</w:t>
      </w:r>
      <w:r>
        <w:rPr>
          <w:rFonts w:hint="eastAsia"/>
          <w:color w:val="auto"/>
          <w:lang w:val="en-US" w:eastAsia="zh-CN"/>
        </w:rPr>
        <w:t>、《中国概况》</w:t>
      </w:r>
      <w:r>
        <w:rPr>
          <w:rFonts w:hint="eastAsia"/>
          <w:color w:val="auto"/>
          <w:lang w:eastAsia="zh-CN"/>
        </w:rPr>
        <w:t>IS5002</w:t>
      </w:r>
      <w:r>
        <w:rPr>
          <w:rFonts w:hint="eastAsia"/>
          <w:color w:val="auto"/>
          <w:lang w:val="en-US" w:eastAsia="zh-CN"/>
        </w:rPr>
        <w:t>-</w:t>
      </w:r>
      <w:r>
        <w:rPr>
          <w:color w:val="auto"/>
        </w:rPr>
        <w:t>国际翻译学院）审核。
</w:t>
      </w:r>
    </w:p>
    <w:p w14:paraId="1C31ECF7">
      <w:pPr>
        <w:pStyle w:val="18"/>
        <w:numPr>
          <w:ilvl w:val="0"/>
          <w:numId w:val="0"/>
        </w:numPr>
        <w:ind w:left="432" w:leftChars="0"/>
        <w:rPr>
          <w:color w:val="auto"/>
        </w:rPr>
      </w:pPr>
    </w:p>
    <w:p w14:paraId="26D1B645">
      <w:pPr>
        <w:pStyle w:val="3"/>
        <w:rPr>
          <w:color w:val="auto"/>
        </w:rPr>
      </w:pPr>
      <w:r>
        <w:rPr>
          <w:rFonts w:hint="eastAsia"/>
          <w:color w:val="auto"/>
          <w:lang w:val="en-US" w:eastAsia="zh-CN"/>
        </w:rPr>
        <w:t>三</w:t>
      </w:r>
      <w:r>
        <w:rPr>
          <w:color w:val="auto"/>
        </w:rPr>
        <w:t>、特殊说明
</w:t>
      </w:r>
    </w:p>
    <w:p w14:paraId="3A3158EE">
      <w:pPr>
        <w:pStyle w:val="18"/>
        <w:rPr>
          <w:color w:val="auto"/>
        </w:rPr>
      </w:pPr>
      <w:r>
        <w:rPr>
          <w:color w:val="auto"/>
        </w:rPr>
        <w:t>2025 学年春季学期，</w:t>
      </w:r>
      <w:r>
        <w:rPr>
          <w:rFonts w:hint="eastAsia"/>
          <w:color w:val="auto"/>
          <w:lang w:val="en-US" w:eastAsia="zh-CN"/>
        </w:rPr>
        <w:t>中国语言文学系</w:t>
      </w:r>
      <w:r>
        <w:rPr>
          <w:color w:val="auto"/>
        </w:rPr>
        <w:t>将不开设</w:t>
      </w: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和《中国概况》课程。请符合修读要求的</w:t>
      </w:r>
      <w:r>
        <w:rPr>
          <w:rFonts w:hint="eastAsia"/>
          <w:color w:val="auto"/>
          <w:lang w:val="en-US" w:eastAsia="zh-CN"/>
        </w:rPr>
        <w:t>广州校区、深圳校区</w:t>
      </w:r>
      <w:r>
        <w:rPr>
          <w:color w:val="auto"/>
        </w:rPr>
        <w:t>学生结合自身情况，在 2025 年秋季学期按教学计划完成课程学习或免修申请，避免影响学业进度。
</w:t>
      </w:r>
    </w:p>
    <w:p w14:paraId="684B6314">
      <w:pPr>
        <w:pStyle w:val="18"/>
        <w:numPr>
          <w:ilvl w:val="0"/>
          <w:numId w:val="0"/>
        </w:numPr>
        <w:rPr>
          <w:color w:val="auto"/>
        </w:rPr>
      </w:pPr>
    </w:p>
    <w:p w14:paraId="29CEBF78">
      <w:pPr>
        <w:pStyle w:val="3"/>
        <w:rPr>
          <w:color w:val="auto"/>
        </w:rPr>
      </w:pPr>
      <w:r>
        <w:rPr>
          <w:rFonts w:hint="eastAsia"/>
          <w:color w:val="auto"/>
          <w:lang w:val="en-US" w:eastAsia="zh-CN"/>
        </w:rPr>
        <w:t>四</w:t>
      </w:r>
      <w:r>
        <w:rPr>
          <w:color w:val="auto"/>
        </w:rPr>
        <w:t>、审核与结果通知
</w:t>
      </w:r>
    </w:p>
    <w:p w14:paraId="735387E8">
      <w:pPr>
        <w:pStyle w:val="18"/>
        <w:rPr>
          <w:color w:val="auto"/>
        </w:rPr>
      </w:pPr>
      <w:r>
        <w:rPr>
          <w:color w:val="auto"/>
        </w:rPr>
        <w:t>审核结果</w:t>
      </w:r>
      <w:r>
        <w:rPr>
          <w:rFonts w:hint="eastAsia"/>
          <w:color w:val="auto"/>
          <w:lang w:val="en-US" w:eastAsia="zh-CN"/>
        </w:rPr>
        <w:t>可</w:t>
      </w:r>
      <w:r>
        <w:rPr>
          <w:rFonts w:hint="eastAsia"/>
          <w:color w:val="auto"/>
        </w:rPr>
        <w:t>在研究生教育管理服务平台</w:t>
      </w:r>
      <w:r>
        <w:rPr>
          <w:rFonts w:hint="eastAsia"/>
          <w:color w:val="auto"/>
          <w:lang w:val="en-US" w:eastAsia="zh-CN"/>
        </w:rPr>
        <w:t>查询</w:t>
      </w:r>
      <w:r>
        <w:rPr>
          <w:color w:val="auto"/>
        </w:rPr>
        <w:t>。免修申请未获通过者，应按教学计划参加教学活动，完成学习任务并按时考核，具体参照《中山大学研究生学业考核管理办法》执行。
</w:t>
      </w:r>
    </w:p>
    <w:p w14:paraId="350D689E">
      <w:pPr>
        <w:pStyle w:val="18"/>
        <w:rPr>
          <w:color w:val="auto"/>
        </w:rPr>
      </w:pPr>
    </w:p>
    <w:p w14:paraId="466CCD65">
      <w:pPr>
        <w:pStyle w:val="18"/>
        <w:rPr>
          <w:color w:val="auto"/>
        </w:rPr>
      </w:pPr>
      <w:r>
        <w:rPr>
          <w:color w:val="auto"/>
        </w:rPr>
        <w:t>附：参考用书
</w:t>
      </w:r>
    </w:p>
    <w:p w14:paraId="538B80E9">
      <w:pPr>
        <w:pStyle w:val="18"/>
        <w:numPr>
          <w:ilvl w:val="0"/>
          <w:numId w:val="2"/>
        </w:numPr>
        <w:rPr>
          <w:color w:val="auto"/>
        </w:rPr>
      </w:pPr>
      <w:r>
        <w:rPr>
          <w:rFonts w:hint="eastAsia"/>
          <w:color w:val="auto"/>
          <w:lang w:eastAsia="zh-CN"/>
        </w:rPr>
        <w:t>《汉语》</w:t>
      </w:r>
      <w:r>
        <w:rPr>
          <w:color w:val="auto"/>
        </w:rPr>
        <w:t>：《发展汉语》（第二版），高级综合 Ⅰ（Developing Chinese, Advanced Comprehensive Course Ⅰ），岑玉珍编著，北京语言大学出版社，2011 年版。
</w:t>
      </w:r>
    </w:p>
    <w:p w14:paraId="4BF389C2">
      <w:pPr>
        <w:pStyle w:val="18"/>
        <w:numPr>
          <w:ilvl w:val="0"/>
          <w:numId w:val="2"/>
        </w:numPr>
        <w:rPr>
          <w:color w:val="auto"/>
        </w:rPr>
      </w:pPr>
      <w:r>
        <w:rPr>
          <w:color w:val="auto"/>
        </w:rPr>
        <w:t>《中国概况》：相关问题届时与授课老师联系。
</w:t>
      </w:r>
    </w:p>
    <w:sectPr>
      <w:footerReference r:id="rId3" w:type="default"/>
      <w:pgSz w:w="11906" w:h="16838"/>
      <w:pgMar w:top="1440" w:right="1440" w:bottom="1440" w:left="1440" w:header="708" w:footer="708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E66CEB9">
    <w:pPr>
      <w:pStyle w:val="8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6FE2C75B">
                          <w:pPr>
                            <w:pStyle w:val="8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6FE2C75B">
                    <w:pPr>
                      <w:pStyle w:val="8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53208E"/>
    <w:multiLevelType w:val="multilevel"/>
    <w:tmpl w:val="0053208E"/>
    <w:lvl w:ilvl="0" w:tentative="0">
      <w:start w:val="1"/>
      <w:numFmt w:val="decimal"/>
      <w:lvlText w:val="%1."/>
      <w:lvlJc w:val="left"/>
      <w:pPr>
        <w:ind w:left="288" w:hanging="288"/>
      </w:pPr>
      <w:rPr>
        <w:rFonts w:hint="default"/>
        <w:color w:val="auto"/>
        <w:sz w:val="22"/>
        <w:szCs w:val="22"/>
      </w:rPr>
    </w:lvl>
    <w:lvl w:ilvl="1" w:tentative="0">
      <w:start w:val="1"/>
      <w:numFmt w:val="lowerLetter"/>
      <w:lvlText w:val="%2."/>
      <w:lvlJc w:val="left"/>
      <w:pPr>
        <w:ind w:left="720" w:hanging="288"/>
      </w:pPr>
      <w:rPr>
        <w:color w:val="3370FF"/>
        <w:sz w:val="22"/>
        <w:szCs w:val="22"/>
      </w:rPr>
    </w:lvl>
    <w:lvl w:ilvl="2" w:tentative="0">
      <w:start w:val="1"/>
      <w:numFmt w:val="lowerRoman"/>
      <w:lvlText w:val="%3.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decimal"/>
      <w:lvlText w:val="%4.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lowerLetter"/>
      <w:lvlText w:val="%5.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lowerRoman"/>
      <w:lvlText w:val="%6.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decimal"/>
      <w:lvlText w:val="%7.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lowerLetter"/>
      <w:lvlText w:val="%8.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lowerRoman"/>
      <w:lvlText w:val="%9."/>
      <w:lvlJc w:val="left"/>
      <w:pPr>
        <w:ind w:left="3744" w:hanging="288"/>
      </w:pPr>
      <w:rPr>
        <w:color w:val="3370FF"/>
        <w:sz w:val="22"/>
        <w:szCs w:val="22"/>
      </w:rPr>
    </w:lvl>
  </w:abstractNum>
  <w:abstractNum w:abstractNumId="1">
    <w:nsid w:val="59ADCABA"/>
    <w:multiLevelType w:val="multilevel"/>
    <w:tmpl w:val="59ADCABA"/>
    <w:lvl w:ilvl="0" w:tentative="0">
      <w:start w:val="1"/>
      <w:numFmt w:val="bullet"/>
      <w:lvlText w:val="•"/>
      <w:lvlJc w:val="left"/>
      <w:pPr>
        <w:ind w:left="288" w:hanging="288"/>
      </w:pPr>
      <w:rPr>
        <w:rFonts w:hint="default"/>
        <w:color w:val="auto"/>
        <w:sz w:val="22"/>
        <w:szCs w:val="22"/>
      </w:rPr>
    </w:lvl>
    <w:lvl w:ilvl="1" w:tentative="0">
      <w:start w:val="1"/>
      <w:numFmt w:val="bullet"/>
      <w:lvlText w:val="◦"/>
      <w:lvlJc w:val="left"/>
      <w:pPr>
        <w:ind w:left="720" w:hanging="288"/>
      </w:pPr>
      <w:rPr>
        <w:rFonts w:hint="default"/>
        <w:color w:val="auto"/>
        <w:sz w:val="22"/>
        <w:szCs w:val="22"/>
      </w:rPr>
    </w:lvl>
    <w:lvl w:ilvl="2" w:tentative="0">
      <w:start w:val="1"/>
      <w:numFmt w:val="bullet"/>
      <w:lvlText w:val="▪"/>
      <w:lvlJc w:val="left"/>
      <w:pPr>
        <w:ind w:left="1152" w:hanging="288"/>
      </w:pPr>
      <w:rPr>
        <w:color w:val="3370FF"/>
        <w:sz w:val="22"/>
        <w:szCs w:val="22"/>
      </w:rPr>
    </w:lvl>
    <w:lvl w:ilvl="3" w:tentative="0">
      <w:start w:val="1"/>
      <w:numFmt w:val="bullet"/>
      <w:lvlText w:val="•"/>
      <w:lvlJc w:val="left"/>
      <w:pPr>
        <w:ind w:left="1583" w:hanging="288"/>
      </w:pPr>
      <w:rPr>
        <w:color w:val="3370FF"/>
        <w:sz w:val="22"/>
        <w:szCs w:val="22"/>
      </w:rPr>
    </w:lvl>
    <w:lvl w:ilvl="4" w:tentative="0">
      <w:start w:val="1"/>
      <w:numFmt w:val="bullet"/>
      <w:lvlText w:val="◦"/>
      <w:lvlJc w:val="left"/>
      <w:pPr>
        <w:ind w:left="2015" w:hanging="288"/>
      </w:pPr>
      <w:rPr>
        <w:color w:val="3370FF"/>
        <w:sz w:val="22"/>
        <w:szCs w:val="22"/>
      </w:rPr>
    </w:lvl>
    <w:lvl w:ilvl="5" w:tentative="0">
      <w:start w:val="1"/>
      <w:numFmt w:val="bullet"/>
      <w:lvlText w:val="▪"/>
      <w:lvlJc w:val="left"/>
      <w:pPr>
        <w:ind w:left="2448" w:hanging="288"/>
      </w:pPr>
      <w:rPr>
        <w:color w:val="3370FF"/>
        <w:sz w:val="22"/>
        <w:szCs w:val="22"/>
      </w:rPr>
    </w:lvl>
    <w:lvl w:ilvl="6" w:tentative="0">
      <w:start w:val="1"/>
      <w:numFmt w:val="bullet"/>
      <w:lvlText w:val="•"/>
      <w:lvlJc w:val="left"/>
      <w:pPr>
        <w:ind w:left="2879" w:hanging="288"/>
      </w:pPr>
      <w:rPr>
        <w:color w:val="3370FF"/>
        <w:sz w:val="22"/>
        <w:szCs w:val="22"/>
      </w:rPr>
    </w:lvl>
    <w:lvl w:ilvl="7" w:tentative="0">
      <w:start w:val="1"/>
      <w:numFmt w:val="bullet"/>
      <w:lvlText w:val="◦"/>
      <w:lvlJc w:val="left"/>
      <w:pPr>
        <w:ind w:left="3312" w:hanging="288"/>
      </w:pPr>
      <w:rPr>
        <w:color w:val="3370FF"/>
        <w:sz w:val="22"/>
        <w:szCs w:val="22"/>
      </w:rPr>
    </w:lvl>
    <w:lvl w:ilvl="8" w:tentative="0">
      <w:start w:val="1"/>
      <w:numFmt w:val="bullet"/>
      <w:lvlText w:val="▪"/>
      <w:lvlJc w:val="left"/>
      <w:pPr>
        <w:ind w:left="3744" w:hanging="288"/>
      </w:pPr>
      <w:rPr>
        <w:color w:val="3370FF"/>
        <w:sz w:val="22"/>
        <w:szCs w:val="22"/>
      </w:rPr>
    </w:lvl>
  </w:abstractNum>
  <w:num w:numId="1">
    <w:abstractNumId w:val="0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ompat>
    <w:doNotExpandShiftReturn/>
    <w:doNotWrapTextWithPunct/>
    <w:doNotUseEastAsianBreakRules/>
    <w:useFELayout/>
    <w:compatSetting w:name="compatibilityMode" w:uri="http://schemas.microsoft.com/office/word" w:val="15"/>
  </w:compat>
  <w:rsids>
    <w:rsidRoot w:val="00000000"/>
    <w:rsid w:val="183356DA"/>
    <w:rsid w:val="18724931"/>
    <w:rsid w:val="20C829D7"/>
    <w:rsid w:val="50AE5B9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sz w:val="21"/>
      <w:szCs w:val="22"/>
    </w:rPr>
  </w:style>
  <w:style w:type="paragraph" w:styleId="2">
    <w:name w:val="heading 1"/>
    <w:next w:val="1"/>
    <w:qFormat/>
    <w:uiPriority w:val="0"/>
    <w:pPr>
      <w:spacing w:before="380" w:after="140" w:line="288" w:lineRule="auto"/>
      <w:ind w:left="0"/>
      <w:jc w:val="left"/>
      <w:outlineLvl w:val="0"/>
    </w:pPr>
    <w:rPr>
      <w:rFonts w:ascii="Arial" w:hAnsi="Arial" w:eastAsia="等线" w:cs="Arial"/>
      <w:b/>
      <w:bCs/>
      <w:sz w:val="36"/>
      <w:szCs w:val="36"/>
    </w:rPr>
  </w:style>
  <w:style w:type="paragraph" w:styleId="3">
    <w:name w:val="heading 2"/>
    <w:next w:val="1"/>
    <w:qFormat/>
    <w:uiPriority w:val="0"/>
    <w:pPr>
      <w:spacing w:before="320" w:after="120" w:line="288" w:lineRule="auto"/>
      <w:ind w:left="0"/>
      <w:jc w:val="left"/>
      <w:outlineLvl w:val="1"/>
    </w:pPr>
    <w:rPr>
      <w:rFonts w:ascii="Arial" w:hAnsi="Arial" w:eastAsia="等线" w:cs="Arial"/>
      <w:b/>
      <w:bCs/>
      <w:sz w:val="32"/>
      <w:szCs w:val="32"/>
    </w:rPr>
  </w:style>
  <w:style w:type="paragraph" w:styleId="4">
    <w:name w:val="heading 3"/>
    <w:next w:val="1"/>
    <w:qFormat/>
    <w:uiPriority w:val="0"/>
    <w:pPr>
      <w:spacing w:before="300" w:after="120" w:line="288" w:lineRule="auto"/>
      <w:ind w:left="0"/>
      <w:jc w:val="left"/>
      <w:outlineLvl w:val="2"/>
    </w:pPr>
    <w:rPr>
      <w:rFonts w:ascii="Arial" w:hAnsi="Arial" w:eastAsia="等线" w:cs="Arial"/>
      <w:b/>
      <w:bCs/>
      <w:sz w:val="30"/>
      <w:szCs w:val="30"/>
    </w:rPr>
  </w:style>
  <w:style w:type="paragraph" w:styleId="5">
    <w:name w:val="heading 4"/>
    <w:next w:val="1"/>
    <w:qFormat/>
    <w:uiPriority w:val="0"/>
    <w:pPr>
      <w:spacing w:before="260" w:after="120" w:line="288" w:lineRule="auto"/>
      <w:ind w:left="0"/>
      <w:jc w:val="left"/>
      <w:outlineLvl w:val="3"/>
    </w:pPr>
    <w:rPr>
      <w:rFonts w:ascii="Arial" w:hAnsi="Arial" w:eastAsia="等线" w:cs="Arial"/>
      <w:b/>
      <w:bCs/>
      <w:sz w:val="28"/>
      <w:szCs w:val="28"/>
    </w:rPr>
  </w:style>
  <w:style w:type="paragraph" w:styleId="6">
    <w:name w:val="heading 5"/>
    <w:next w:val="1"/>
    <w:qFormat/>
    <w:uiPriority w:val="0"/>
    <w:pPr>
      <w:spacing w:before="240" w:after="120" w:line="288" w:lineRule="auto"/>
      <w:ind w:left="0"/>
      <w:jc w:val="left"/>
      <w:outlineLvl w:val="4"/>
    </w:pPr>
    <w:rPr>
      <w:rFonts w:ascii="Arial" w:hAnsi="Arial" w:eastAsia="等线" w:cs="Arial"/>
      <w:b/>
      <w:bCs/>
      <w:sz w:val="24"/>
      <w:szCs w:val="24"/>
    </w:rPr>
  </w:style>
  <w:style w:type="paragraph" w:styleId="7">
    <w:name w:val="heading 6"/>
    <w:next w:val="1"/>
    <w:qFormat/>
    <w:uiPriority w:val="0"/>
    <w:pPr>
      <w:spacing w:before="240" w:after="120" w:line="288" w:lineRule="auto"/>
      <w:ind w:left="0"/>
      <w:jc w:val="left"/>
      <w:outlineLvl w:val="5"/>
    </w:pPr>
    <w:rPr>
      <w:rFonts w:ascii="Arial" w:hAnsi="Arial" w:eastAsia="等线" w:cs="Arial"/>
      <w:b/>
      <w:bCs/>
      <w:sz w:val="24"/>
      <w:szCs w:val="24"/>
    </w:rPr>
  </w:style>
  <w:style w:type="character" w:default="1" w:styleId="13">
    <w:name w:val="Default Paragraph Font"/>
    <w:semiHidden/>
    <w:qFormat/>
    <w:uiPriority w:val="0"/>
  </w:style>
  <w:style w:type="table" w:default="1" w:styleId="1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9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10">
    <w:name w:val="footnote text"/>
    <w:link w:val="17"/>
    <w:semiHidden/>
    <w:unhideWhenUsed/>
    <w:qFormat/>
    <w:uiPriority w:val="99"/>
    <w:pPr>
      <w:spacing w:after="0" w:line="240" w:lineRule="auto"/>
    </w:pPr>
    <w:rPr>
      <w:rFonts w:ascii="Times New Roman" w:hAnsi="Times New Roman" w:eastAsia="宋体" w:cs="Times New Roman"/>
      <w:sz w:val="20"/>
      <w:szCs w:val="20"/>
    </w:rPr>
  </w:style>
  <w:style w:type="paragraph" w:styleId="11">
    <w:name w:val="Title"/>
    <w:qFormat/>
    <w:uiPriority w:val="0"/>
    <w:pPr>
      <w:spacing w:before="480" w:after="480" w:line="288" w:lineRule="auto"/>
      <w:ind w:left="0"/>
    </w:pPr>
    <w:rPr>
      <w:rFonts w:ascii="Arial" w:hAnsi="Arial" w:eastAsia="等线" w:cs="Arial"/>
      <w:b/>
      <w:bCs/>
      <w:sz w:val="52"/>
      <w:szCs w:val="52"/>
    </w:rPr>
  </w:style>
  <w:style w:type="character" w:styleId="14">
    <w:name w:val="Hyperlink"/>
    <w:unhideWhenUsed/>
    <w:qFormat/>
    <w:uiPriority w:val="99"/>
    <w:rPr>
      <w:color w:val="0563C1"/>
      <w:u w:val="single"/>
    </w:rPr>
  </w:style>
  <w:style w:type="character" w:styleId="15">
    <w:name w:val="footnote reference"/>
    <w:semiHidden/>
    <w:unhideWhenUsed/>
    <w:qFormat/>
    <w:uiPriority w:val="99"/>
    <w:rPr>
      <w:vertAlign w:val="superscript"/>
    </w:rPr>
  </w:style>
  <w:style w:type="paragraph" w:styleId="16">
    <w:name w:val="List Paragraph"/>
    <w:qFormat/>
    <w:uiPriority w:val="0"/>
    <w:rPr>
      <w:rFonts w:ascii="Times New Roman" w:hAnsi="Times New Roman" w:eastAsia="宋体" w:cs="Times New Roman"/>
      <w:sz w:val="21"/>
      <w:szCs w:val="22"/>
    </w:rPr>
  </w:style>
  <w:style w:type="character" w:customStyle="1" w:styleId="17">
    <w:name w:val="Footnote Text Char"/>
    <w:link w:val="10"/>
    <w:semiHidden/>
    <w:unhideWhenUsed/>
    <w:qFormat/>
    <w:uiPriority w:val="99"/>
    <w:rPr>
      <w:sz w:val="20"/>
      <w:szCs w:val="20"/>
    </w:rPr>
  </w:style>
  <w:style w:type="paragraph" w:customStyle="1" w:styleId="18">
    <w:name w:val="_Style 13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sz w:val="22"/>
      <w:szCs w:val="22"/>
    </w:rPr>
  </w:style>
  <w:style w:type="paragraph" w:customStyle="1" w:styleId="19">
    <w:name w:val="_Style 14"/>
    <w:qFormat/>
    <w:uiPriority w:val="0"/>
    <w:pPr>
      <w:spacing w:before="120" w:after="120" w:line="288" w:lineRule="auto"/>
      <w:ind w:left="0"/>
      <w:jc w:val="left"/>
    </w:pPr>
    <w:rPr>
      <w:rFonts w:ascii="Arial" w:hAnsi="Arial" w:eastAsia="等线" w:cs="Arial"/>
      <w:color w:val="8F959E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1688</Words>
  <Characters>1826</Characters>
  <TotalTime>4</TotalTime>
  <ScaleCrop>false</ScaleCrop>
  <LinksUpToDate>false</LinksUpToDate>
  <CharactersWithSpaces>1861</CharactersWithSpaces>
  <Application>WPS Office_12.1.0.21915_F1E327BC-269C-435d-A152-05C5408002CA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2025-07-09T07:43:00Z</dcterms:created>
  <dc:creator>Un-named</dc:creator>
  <cp:lastModifiedBy>江然婷</cp:lastModifiedBy>
  <dcterms:modified xsi:type="dcterms:W3CDTF">2025-08-02T02:38:26Z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eyJoZGlkIjoiZDBmMTBiMGNjNjIyOGUxYmQwMmUyZjI3NzAyZDllZTMiLCJ1c2VySWQiOiI1ODkzOTkxNDMifQ==</vt:lpwstr>
  </property>
  <property fmtid="{D5CDD505-2E9C-101B-9397-08002B2CF9AE}" pid="3" name="KSOProductBuildVer">
    <vt:lpwstr>2052-12.1.0.21915</vt:lpwstr>
  </property>
  <property fmtid="{D5CDD505-2E9C-101B-9397-08002B2CF9AE}" pid="4" name="ICV">
    <vt:lpwstr>973FC657E74040A193AFB460E18F83C7_12</vt:lpwstr>
  </property>
</Properties>
</file>