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D7B87">
      <w:pPr>
        <w:adjustRightInd w:val="0"/>
        <w:snapToGrid w:val="0"/>
        <w:spacing w:line="500" w:lineRule="exact"/>
        <w:jc w:val="center"/>
        <w:rPr>
          <w:rFonts w:eastAsia="方正小标宋简体"/>
          <w:b/>
          <w:color w:val="000000"/>
          <w:sz w:val="36"/>
          <w:szCs w:val="36"/>
        </w:rPr>
      </w:pPr>
      <w:r>
        <w:rPr>
          <w:rFonts w:eastAsia="方正小标宋简体"/>
          <w:b/>
          <w:color w:val="000000"/>
          <w:sz w:val="36"/>
          <w:szCs w:val="36"/>
        </w:rPr>
        <w:t>中山大学</w:t>
      </w:r>
    </w:p>
    <w:p w14:paraId="54B8D351">
      <w:pPr>
        <w:adjustRightInd w:val="0"/>
        <w:snapToGrid w:val="0"/>
        <w:spacing w:line="500" w:lineRule="exact"/>
        <w:jc w:val="center"/>
        <w:rPr>
          <w:rFonts w:eastAsia="方正小标宋简体"/>
          <w:b/>
          <w:color w:val="000000"/>
          <w:sz w:val="32"/>
          <w:szCs w:val="32"/>
        </w:rPr>
      </w:pPr>
      <w:r>
        <w:rPr>
          <w:rFonts w:hint="eastAsia" w:eastAsia="方正小标宋简体"/>
          <w:b/>
          <w:color w:val="000000"/>
          <w:sz w:val="32"/>
          <w:szCs w:val="32"/>
        </w:rPr>
        <w:t>数学（070100）</w:t>
      </w:r>
      <w:r>
        <w:rPr>
          <w:rFonts w:eastAsia="方正小标宋简体"/>
          <w:b/>
          <w:color w:val="000000"/>
          <w:sz w:val="32"/>
          <w:szCs w:val="32"/>
        </w:rPr>
        <w:t>学术学位</w:t>
      </w:r>
      <w:r>
        <w:rPr>
          <w:rFonts w:hint="eastAsia" w:eastAsia="方正小标宋简体"/>
          <w:b/>
          <w:color w:val="000000"/>
          <w:sz w:val="32"/>
          <w:szCs w:val="32"/>
        </w:rPr>
        <w:t>硕士</w:t>
      </w:r>
      <w:r>
        <w:rPr>
          <w:rFonts w:eastAsia="方正小标宋简体"/>
          <w:b/>
          <w:color w:val="000000"/>
          <w:sz w:val="32"/>
          <w:szCs w:val="32"/>
        </w:rPr>
        <w:t>研究生培养方案</w:t>
      </w:r>
    </w:p>
    <w:p w14:paraId="518FAC22">
      <w:pPr>
        <w:adjustRightInd w:val="0"/>
        <w:snapToGrid w:val="0"/>
        <w:spacing w:line="500" w:lineRule="exact"/>
        <w:jc w:val="center"/>
        <w:rPr>
          <w:rFonts w:eastAsia="方正小标宋简体"/>
          <w:bCs/>
          <w:color w:val="000000"/>
          <w:sz w:val="28"/>
          <w:szCs w:val="28"/>
        </w:rPr>
      </w:pPr>
      <w:r>
        <w:rPr>
          <w:rFonts w:eastAsia="方正小标宋简体"/>
          <w:bCs/>
          <w:color w:val="000000"/>
          <w:sz w:val="28"/>
          <w:szCs w:val="28"/>
        </w:rPr>
        <w:t>（从</w:t>
      </w:r>
      <w:r>
        <w:rPr>
          <w:rFonts w:hint="eastAsia" w:eastAsia="方正小标宋简体"/>
          <w:bCs/>
          <w:color w:val="000000"/>
          <w:sz w:val="28"/>
          <w:szCs w:val="28"/>
        </w:rPr>
        <w:t>2024</w:t>
      </w:r>
      <w:r>
        <w:rPr>
          <w:rFonts w:eastAsia="方正小标宋简体"/>
          <w:bCs/>
          <w:color w:val="000000"/>
          <w:sz w:val="28"/>
          <w:szCs w:val="28"/>
        </w:rPr>
        <w:t>年级开始执行）</w:t>
      </w:r>
    </w:p>
    <w:p w14:paraId="0FCB68CD">
      <w:pPr>
        <w:spacing w:line="500" w:lineRule="exact"/>
        <w:ind w:firstLine="643" w:firstLineChars="200"/>
        <w:rPr>
          <w:rFonts w:eastAsia="仿宋_GB2312"/>
          <w:b/>
          <w:sz w:val="32"/>
          <w:szCs w:val="32"/>
        </w:rPr>
      </w:pPr>
    </w:p>
    <w:p w14:paraId="098028CA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学科介绍</w:t>
      </w:r>
    </w:p>
    <w:p w14:paraId="14A97639">
      <w:pPr>
        <w:spacing w:line="5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数学学科历史追溯于数学系始建于1924年创校之初，1998年获得数学一级学科博士学位授予权，是国家“双一流”建设学科，国家理科基础科研和教学人才培养基地。本学科着力培养学生掌握数学的基本理论和方法，进入国际科学研究前沿，做出原创性理论和应用成果，成为具有国际视野的数学领军人才，为提升我国科技实力和促进经济建设做贡献。本着“质量第一”的发展理念，全力完善学科体系，提升学科实力，建成国际领先的学科点</w:t>
      </w:r>
      <w:r>
        <w:rPr>
          <w:rFonts w:eastAsia="仿宋_GB2312"/>
          <w:sz w:val="28"/>
          <w:szCs w:val="28"/>
        </w:rPr>
        <w:t>。</w:t>
      </w:r>
    </w:p>
    <w:p w14:paraId="6713BDF8">
      <w:pPr>
        <w:spacing w:line="500" w:lineRule="exact"/>
        <w:ind w:firstLine="560" w:firstLineChars="200"/>
        <w:rPr>
          <w:rFonts w:eastAsia="仿宋_GB2312"/>
          <w:sz w:val="28"/>
          <w:szCs w:val="28"/>
        </w:rPr>
      </w:pPr>
    </w:p>
    <w:p w14:paraId="44291BF5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培养目标</w:t>
      </w:r>
    </w:p>
    <w:p w14:paraId="78226922">
      <w:pPr>
        <w:adjustRightInd w:val="0"/>
        <w:snapToGrid w:val="0"/>
        <w:spacing w:line="5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以习近平新时代中国特色社会主义思想为指导，全面贯彻党的教育方针，以立德树人为根本，以理想信念教育为核心，培养德智体美劳全面发展，具有社会责任感和创新精神的高层次人才。</w:t>
      </w:r>
    </w:p>
    <w:p w14:paraId="5B28231A">
      <w:pPr>
        <w:adjustRightInd w:val="0"/>
        <w:snapToGrid w:val="0"/>
        <w:spacing w:line="5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掌握坚实宽广的数学学科基本理论和系统的专门知识，具有发现问题、分析问题、解决问题的能力，具有健全的体魄和健康的心理、和谐的人际关系以及良好的社会适应能力。对于继续深造的硕士生，必须掌握科学研究的方法，具有独立从事科学研究的能力，能在教学科研一线独当一面；对于走入社会就业的硕士生，将具有应用本学科知识和方法解决工作中的实际问题的能力</w:t>
      </w:r>
      <w:r>
        <w:rPr>
          <w:rFonts w:eastAsia="仿宋_GB2312"/>
          <w:sz w:val="28"/>
          <w:szCs w:val="28"/>
        </w:rPr>
        <w:t>。</w:t>
      </w:r>
    </w:p>
    <w:p w14:paraId="111EC090">
      <w:pPr>
        <w:adjustRightInd w:val="0"/>
        <w:snapToGrid w:val="0"/>
        <w:spacing w:line="500" w:lineRule="exact"/>
        <w:ind w:firstLine="560" w:firstLineChars="200"/>
        <w:rPr>
          <w:rFonts w:eastAsia="仿宋_GB2312"/>
          <w:sz w:val="28"/>
          <w:szCs w:val="28"/>
        </w:rPr>
      </w:pPr>
    </w:p>
    <w:p w14:paraId="2DD79010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学制与学习年限</w:t>
      </w:r>
    </w:p>
    <w:p w14:paraId="41BE73B4"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全日制三年。</w:t>
      </w:r>
      <w:r>
        <w:rPr>
          <w:rFonts w:eastAsia="仿宋_GB2312"/>
          <w:sz w:val="28"/>
          <w:szCs w:val="28"/>
        </w:rPr>
        <w:t>按照《中山大学研究生学籍管理规定》</w:t>
      </w:r>
      <w:r>
        <w:rPr>
          <w:rFonts w:hint="eastAsia" w:eastAsia="仿宋_GB2312"/>
          <w:sz w:val="28"/>
          <w:szCs w:val="28"/>
        </w:rPr>
        <w:t>中</w:t>
      </w:r>
      <w:r>
        <w:rPr>
          <w:rFonts w:eastAsia="仿宋_GB2312"/>
          <w:sz w:val="28"/>
          <w:szCs w:val="28"/>
        </w:rPr>
        <w:t>规定的学制和学习年限执行。</w:t>
      </w:r>
    </w:p>
    <w:p w14:paraId="42699B94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学科特色方向</w:t>
      </w:r>
    </w:p>
    <w:p w14:paraId="688258C7">
      <w:pPr>
        <w:adjustRightInd w:val="0"/>
        <w:snapToGrid w:val="0"/>
        <w:spacing w:line="500" w:lineRule="exact"/>
        <w:ind w:firstLine="560" w:firstLineChars="200"/>
        <w:jc w:val="left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基础数学、计算数学、概率论与数理统计、应用数学、运筹学与控制论五个研究方向。</w:t>
      </w:r>
    </w:p>
    <w:p w14:paraId="26494456">
      <w:pPr>
        <w:adjustRightInd w:val="0"/>
        <w:snapToGrid w:val="0"/>
        <w:spacing w:line="500" w:lineRule="exact"/>
        <w:ind w:firstLine="560" w:firstLineChars="200"/>
        <w:jc w:val="left"/>
        <w:rPr>
          <w:rFonts w:hint="eastAsia" w:eastAsia="仿宋_GB2312"/>
          <w:sz w:val="28"/>
          <w:szCs w:val="28"/>
        </w:rPr>
      </w:pPr>
    </w:p>
    <w:p w14:paraId="6B94A63A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培养方式</w:t>
      </w:r>
    </w:p>
    <w:p w14:paraId="40B9FA67">
      <w:pPr>
        <w:adjustRightInd w:val="0"/>
        <w:snapToGrid w:val="0"/>
        <w:spacing w:line="500" w:lineRule="exact"/>
        <w:ind w:firstLine="560" w:firstLineChars="200"/>
        <w:jc w:val="left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研究生培养方式应灵活多样，应充分发挥导师指导研究生的主导作用，建立和完善有利于发挥学术群体作用的培养机制。应强调在培养过程中发挥研究生的主动性和自觉性，更多地采用启发式、研讨式的教学方式，可规定研究生参加必要的学术讲座、学术报告、讨论班、社会实践和社会调查，加强研究生的自学能力、动手能力、表达能力和写作能力的训练和培养。</w:t>
      </w:r>
    </w:p>
    <w:p w14:paraId="5D29D62C">
      <w:pPr>
        <w:adjustRightInd w:val="0"/>
        <w:snapToGrid w:val="0"/>
        <w:spacing w:line="500" w:lineRule="exact"/>
        <w:ind w:firstLine="560" w:firstLineChars="200"/>
        <w:jc w:val="left"/>
        <w:rPr>
          <w:rFonts w:hint="eastAsia" w:eastAsia="仿宋_GB2312"/>
          <w:sz w:val="28"/>
          <w:szCs w:val="28"/>
        </w:rPr>
      </w:pPr>
    </w:p>
    <w:p w14:paraId="39C81AA9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课程设置与学分要求</w:t>
      </w:r>
    </w:p>
    <w:p w14:paraId="4CB385AF">
      <w:pPr>
        <w:adjustRightInd w:val="0"/>
        <w:snapToGrid w:val="0"/>
        <w:spacing w:line="500" w:lineRule="exact"/>
        <w:ind w:firstLine="560" w:firstLineChars="200"/>
        <w:jc w:val="lef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1.学分要求</w:t>
      </w:r>
    </w:p>
    <w:p w14:paraId="1E1C5E92">
      <w:pPr>
        <w:adjustRightInd w:val="0"/>
        <w:snapToGrid w:val="0"/>
        <w:spacing w:line="500" w:lineRule="exact"/>
        <w:ind w:firstLine="560" w:firstLineChars="200"/>
        <w:jc w:val="lef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修读总学分不低于30学分，其中必修学分不低于15学分，学位论文不计学分。</w:t>
      </w:r>
    </w:p>
    <w:p w14:paraId="4164D244">
      <w:pPr>
        <w:numPr>
          <w:ilvl w:val="0"/>
          <w:numId w:val="2"/>
        </w:numPr>
        <w:spacing w:line="500" w:lineRule="exact"/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课程设置</w:t>
      </w:r>
    </w:p>
    <w:p w14:paraId="71C1318D">
      <w:pPr>
        <w:spacing w:line="500" w:lineRule="exact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注：数学专业硕士培养方案由数学学院、数学学院（珠海）、计算机学院、理学院及系统科学与工程学院五学院共同制定，课程设置涵盖五个学院的课程体系。此发布版本仅包含面向我院学生的课程。如需了解整个学位点的完整课程设置，可前往我院研究生教务办公室查阅。）</w:t>
      </w:r>
    </w:p>
    <w:tbl>
      <w:tblPr>
        <w:tblStyle w:val="19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510"/>
        <w:gridCol w:w="1200"/>
        <w:gridCol w:w="3730"/>
        <w:gridCol w:w="570"/>
        <w:gridCol w:w="520"/>
        <w:gridCol w:w="1521"/>
        <w:gridCol w:w="576"/>
      </w:tblGrid>
      <w:tr w14:paraId="1CE3F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3" w:type="dxa"/>
            <w:vAlign w:val="center"/>
          </w:tcPr>
          <w:p w14:paraId="53E362A1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510" w:type="dxa"/>
          </w:tcPr>
          <w:p w14:paraId="554B91DB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课程属性</w:t>
            </w:r>
          </w:p>
        </w:tc>
        <w:tc>
          <w:tcPr>
            <w:tcW w:w="1200" w:type="dxa"/>
            <w:vAlign w:val="center"/>
          </w:tcPr>
          <w:p w14:paraId="4F275074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730" w:type="dxa"/>
            <w:vAlign w:val="center"/>
          </w:tcPr>
          <w:p w14:paraId="32466070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课程名称/英文名称</w:t>
            </w:r>
          </w:p>
        </w:tc>
        <w:tc>
          <w:tcPr>
            <w:tcW w:w="570" w:type="dxa"/>
            <w:vAlign w:val="center"/>
          </w:tcPr>
          <w:p w14:paraId="50EE6A8C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学时</w:t>
            </w:r>
          </w:p>
        </w:tc>
        <w:tc>
          <w:tcPr>
            <w:tcW w:w="520" w:type="dxa"/>
            <w:vAlign w:val="center"/>
          </w:tcPr>
          <w:p w14:paraId="657A7019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学分</w:t>
            </w:r>
          </w:p>
        </w:tc>
        <w:tc>
          <w:tcPr>
            <w:tcW w:w="1521" w:type="dxa"/>
            <w:vAlign w:val="center"/>
          </w:tcPr>
          <w:p w14:paraId="252B56DC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课程负责人</w:t>
            </w:r>
          </w:p>
        </w:tc>
        <w:tc>
          <w:tcPr>
            <w:tcW w:w="576" w:type="dxa"/>
            <w:vAlign w:val="center"/>
          </w:tcPr>
          <w:p w14:paraId="0AAFFF5B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备注</w:t>
            </w:r>
          </w:p>
        </w:tc>
      </w:tr>
      <w:tr w14:paraId="6D4F2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553" w:type="dxa"/>
            <w:vMerge w:val="restart"/>
            <w:textDirection w:val="tbRlV"/>
            <w:vAlign w:val="center"/>
          </w:tcPr>
          <w:p w14:paraId="70F44DEC">
            <w:pPr>
              <w:spacing w:line="500" w:lineRule="exact"/>
              <w:ind w:left="113" w:right="113"/>
              <w:jc w:val="center"/>
              <w:rPr>
                <w:rFonts w:ascii="仿宋_GB2312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18"/>
                <w:szCs w:val="18"/>
              </w:rPr>
              <w:t>必修课</w:t>
            </w:r>
          </w:p>
        </w:tc>
        <w:tc>
          <w:tcPr>
            <w:tcW w:w="510" w:type="dxa"/>
            <w:vMerge w:val="restart"/>
            <w:textDirection w:val="tbRlV"/>
            <w:vAlign w:val="center"/>
          </w:tcPr>
          <w:p w14:paraId="675E4600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公共课</w:t>
            </w:r>
          </w:p>
        </w:tc>
        <w:tc>
          <w:tcPr>
            <w:tcW w:w="1200" w:type="dxa"/>
            <w:vAlign w:val="center"/>
          </w:tcPr>
          <w:p w14:paraId="26B0642A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MAR5001</w:t>
            </w:r>
          </w:p>
        </w:tc>
        <w:tc>
          <w:tcPr>
            <w:tcW w:w="3730" w:type="dxa"/>
            <w:vAlign w:val="center"/>
          </w:tcPr>
          <w:p w14:paraId="57FF63E4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新时代中国特色社会主义理论与实践</w:t>
            </w:r>
            <w:r>
              <w:rPr>
                <w:rFonts w:eastAsia="仿宋_GB2312"/>
                <w:color w:val="000000"/>
                <w:sz w:val="18"/>
                <w:szCs w:val="18"/>
              </w:rPr>
              <w:t>Theory and Practice of Socialism with Chinese Characteristics for a New Era</w:t>
            </w:r>
          </w:p>
        </w:tc>
        <w:tc>
          <w:tcPr>
            <w:tcW w:w="570" w:type="dxa"/>
            <w:vAlign w:val="center"/>
          </w:tcPr>
          <w:p w14:paraId="7BA80A5A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vAlign w:val="center"/>
          </w:tcPr>
          <w:p w14:paraId="78A20771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7B0477DA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576" w:type="dxa"/>
            <w:vAlign w:val="center"/>
          </w:tcPr>
          <w:p w14:paraId="7576E57F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  <w:t>秋</w:t>
            </w:r>
          </w:p>
        </w:tc>
      </w:tr>
      <w:tr w14:paraId="1426C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553" w:type="dxa"/>
            <w:vMerge w:val="continue"/>
            <w:vAlign w:val="center"/>
          </w:tcPr>
          <w:p w14:paraId="1118AA38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vAlign w:val="center"/>
          </w:tcPr>
          <w:p w14:paraId="7A46F2FE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 w14:paraId="0EE4F383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MAR5002</w:t>
            </w:r>
          </w:p>
        </w:tc>
        <w:tc>
          <w:tcPr>
            <w:tcW w:w="3730" w:type="dxa"/>
            <w:vAlign w:val="center"/>
          </w:tcPr>
          <w:p w14:paraId="005E982C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自然辩证法概论Dialectics of Nature</w:t>
            </w:r>
          </w:p>
        </w:tc>
        <w:tc>
          <w:tcPr>
            <w:tcW w:w="570" w:type="dxa"/>
            <w:vAlign w:val="center"/>
          </w:tcPr>
          <w:p w14:paraId="48009093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18</w:t>
            </w:r>
          </w:p>
        </w:tc>
        <w:tc>
          <w:tcPr>
            <w:tcW w:w="520" w:type="dxa"/>
            <w:vAlign w:val="center"/>
          </w:tcPr>
          <w:p w14:paraId="58B720E8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521" w:type="dxa"/>
            <w:vAlign w:val="center"/>
          </w:tcPr>
          <w:p w14:paraId="047653C7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576" w:type="dxa"/>
            <w:vMerge w:val="restart"/>
            <w:vAlign w:val="center"/>
          </w:tcPr>
          <w:p w14:paraId="4A78B78F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二选一</w:t>
            </w:r>
          </w:p>
        </w:tc>
      </w:tr>
      <w:tr w14:paraId="68FB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553" w:type="dxa"/>
            <w:vMerge w:val="continue"/>
            <w:vAlign w:val="center"/>
          </w:tcPr>
          <w:p w14:paraId="2DB834CE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vAlign w:val="center"/>
          </w:tcPr>
          <w:p w14:paraId="0ECEA0A6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 w14:paraId="27F5C3AB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MAR5003</w:t>
            </w:r>
          </w:p>
        </w:tc>
        <w:tc>
          <w:tcPr>
            <w:tcW w:w="3730" w:type="dxa"/>
            <w:vAlign w:val="center"/>
          </w:tcPr>
          <w:p w14:paraId="1A6035EA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马克思主义与社会科学方法论Marxism and The Methodology of Social Science</w:t>
            </w:r>
          </w:p>
        </w:tc>
        <w:tc>
          <w:tcPr>
            <w:tcW w:w="570" w:type="dxa"/>
            <w:vAlign w:val="center"/>
          </w:tcPr>
          <w:p w14:paraId="78010DB9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18</w:t>
            </w:r>
          </w:p>
        </w:tc>
        <w:tc>
          <w:tcPr>
            <w:tcW w:w="520" w:type="dxa"/>
            <w:vAlign w:val="center"/>
          </w:tcPr>
          <w:p w14:paraId="5B78697E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521" w:type="dxa"/>
            <w:vAlign w:val="center"/>
          </w:tcPr>
          <w:p w14:paraId="3573E735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576" w:type="dxa"/>
            <w:vMerge w:val="continue"/>
            <w:vAlign w:val="center"/>
          </w:tcPr>
          <w:p w14:paraId="3A79AD54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</w:tr>
      <w:tr w14:paraId="3C301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553" w:type="dxa"/>
            <w:vMerge w:val="continue"/>
            <w:vAlign w:val="center"/>
          </w:tcPr>
          <w:p w14:paraId="088DD884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vAlign w:val="center"/>
          </w:tcPr>
          <w:p w14:paraId="44B7E258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 w14:paraId="5D73321E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FL5015</w:t>
            </w:r>
          </w:p>
        </w:tc>
        <w:tc>
          <w:tcPr>
            <w:tcW w:w="3730" w:type="dxa"/>
            <w:vAlign w:val="center"/>
          </w:tcPr>
          <w:p w14:paraId="2756952C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第一外国语（英语）First Foreign Language</w:t>
            </w:r>
            <w:r>
              <w:rPr>
                <w:rFonts w:hint="eastAsia" w:eastAsia="仿宋_GB2312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仿宋_GB2312"/>
                <w:kern w:val="0"/>
                <w:sz w:val="18"/>
                <w:szCs w:val="18"/>
              </w:rPr>
              <w:t>(English)</w:t>
            </w:r>
          </w:p>
        </w:tc>
        <w:tc>
          <w:tcPr>
            <w:tcW w:w="570" w:type="dxa"/>
            <w:vAlign w:val="center"/>
          </w:tcPr>
          <w:p w14:paraId="3FA57E85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vAlign w:val="center"/>
          </w:tcPr>
          <w:p w14:paraId="4AF37D5F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7A1D832B">
            <w:pPr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外国语学院</w:t>
            </w:r>
            <w:r>
              <w:rPr>
                <w:rFonts w:eastAsia="仿宋_GB2312"/>
                <w:color w:val="000000"/>
                <w:sz w:val="18"/>
                <w:szCs w:val="18"/>
              </w:rPr>
              <w:t>/国际翻译学院</w:t>
            </w:r>
          </w:p>
        </w:tc>
        <w:tc>
          <w:tcPr>
            <w:tcW w:w="576" w:type="dxa"/>
            <w:vAlign w:val="center"/>
          </w:tcPr>
          <w:p w14:paraId="593E0AC5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  <w:t>秋</w:t>
            </w:r>
          </w:p>
        </w:tc>
      </w:tr>
      <w:tr w14:paraId="0BB41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553" w:type="dxa"/>
            <w:vMerge w:val="continue"/>
            <w:vAlign w:val="center"/>
          </w:tcPr>
          <w:p w14:paraId="1BA3E292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restart"/>
            <w:textDirection w:val="tbRlV"/>
            <w:vAlign w:val="center"/>
          </w:tcPr>
          <w:p w14:paraId="7937CEE1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1200" w:type="dxa"/>
            <w:vAlign w:val="center"/>
          </w:tcPr>
          <w:p w14:paraId="6D0897C1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DCS5224</w:t>
            </w:r>
          </w:p>
        </w:tc>
        <w:tc>
          <w:tcPr>
            <w:tcW w:w="3730" w:type="dxa"/>
            <w:vAlign w:val="center"/>
          </w:tcPr>
          <w:p w14:paraId="7DB2B76D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学术规范与论文写作</w:t>
            </w:r>
          </w:p>
          <w:p w14:paraId="4C33DB97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Academic norms and paper writing</w:t>
            </w:r>
          </w:p>
        </w:tc>
        <w:tc>
          <w:tcPr>
            <w:tcW w:w="570" w:type="dxa"/>
            <w:vAlign w:val="center"/>
          </w:tcPr>
          <w:p w14:paraId="7C7C0798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18</w:t>
            </w:r>
          </w:p>
        </w:tc>
        <w:tc>
          <w:tcPr>
            <w:tcW w:w="520" w:type="dxa"/>
            <w:vAlign w:val="center"/>
          </w:tcPr>
          <w:p w14:paraId="3D3C46F5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521" w:type="dxa"/>
            <w:vAlign w:val="center"/>
          </w:tcPr>
          <w:p w14:paraId="4C7AFED8">
            <w:pPr>
              <w:jc w:val="center"/>
              <w:rPr>
                <w:rFonts w:hint="eastAsia" w:eastAsia="仿宋_GB2312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  <w:t>导师组</w:t>
            </w:r>
          </w:p>
        </w:tc>
        <w:tc>
          <w:tcPr>
            <w:tcW w:w="576" w:type="dxa"/>
            <w:vAlign w:val="center"/>
          </w:tcPr>
          <w:p w14:paraId="258F7624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必选</w:t>
            </w:r>
          </w:p>
        </w:tc>
      </w:tr>
      <w:tr w14:paraId="7918F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553" w:type="dxa"/>
            <w:vMerge w:val="continue"/>
            <w:vAlign w:val="center"/>
          </w:tcPr>
          <w:p w14:paraId="5D0E5A69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textDirection w:val="tbRlV"/>
            <w:vAlign w:val="center"/>
          </w:tcPr>
          <w:p w14:paraId="0AAF5938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 w14:paraId="03FE827A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</w:t>
            </w:r>
            <w:r>
              <w:rPr>
                <w:rFonts w:hint="eastAsia" w:eastAsia="仿宋_GB2312"/>
                <w:kern w:val="0"/>
                <w:sz w:val="18"/>
                <w:szCs w:val="18"/>
              </w:rPr>
              <w:t>6205</w:t>
            </w:r>
          </w:p>
        </w:tc>
        <w:tc>
          <w:tcPr>
            <w:tcW w:w="3730" w:type="dxa"/>
            <w:vAlign w:val="center"/>
          </w:tcPr>
          <w:p w14:paraId="55E04096">
            <w:pPr>
              <w:snapToGrid w:val="0"/>
              <w:contextualSpacing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应用泛函分析</w:t>
            </w:r>
          </w:p>
          <w:p w14:paraId="171A9229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Functional Analysis</w:t>
            </w:r>
          </w:p>
        </w:tc>
        <w:tc>
          <w:tcPr>
            <w:tcW w:w="570" w:type="dxa"/>
            <w:vAlign w:val="center"/>
          </w:tcPr>
          <w:p w14:paraId="7165F64C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54</w:t>
            </w:r>
          </w:p>
        </w:tc>
        <w:tc>
          <w:tcPr>
            <w:tcW w:w="520" w:type="dxa"/>
            <w:vAlign w:val="center"/>
          </w:tcPr>
          <w:p w14:paraId="6FA6C5C8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3</w:t>
            </w:r>
          </w:p>
        </w:tc>
        <w:tc>
          <w:tcPr>
            <w:tcW w:w="1521" w:type="dxa"/>
            <w:vAlign w:val="center"/>
          </w:tcPr>
          <w:p w14:paraId="6BFE7361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杨宏奇、陆遥</w:t>
            </w:r>
          </w:p>
        </w:tc>
        <w:tc>
          <w:tcPr>
            <w:tcW w:w="576" w:type="dxa"/>
            <w:vAlign w:val="center"/>
          </w:tcPr>
          <w:p w14:paraId="1B9D3578">
            <w:pPr>
              <w:spacing w:line="500" w:lineRule="exact"/>
              <w:jc w:val="center"/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  <w:t>秋</w:t>
            </w:r>
          </w:p>
        </w:tc>
      </w:tr>
      <w:tr w14:paraId="31F88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553" w:type="dxa"/>
            <w:vMerge w:val="continue"/>
            <w:vAlign w:val="center"/>
          </w:tcPr>
          <w:p w14:paraId="74B260A5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textDirection w:val="tbRlV"/>
            <w:vAlign w:val="center"/>
          </w:tcPr>
          <w:p w14:paraId="7A329D96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 w14:paraId="02D4893E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</w:t>
            </w:r>
            <w:r>
              <w:rPr>
                <w:rFonts w:hint="eastAsia" w:eastAsia="仿宋_GB2312"/>
                <w:kern w:val="0"/>
                <w:sz w:val="18"/>
                <w:szCs w:val="18"/>
              </w:rPr>
              <w:t>703</w:t>
            </w:r>
          </w:p>
        </w:tc>
        <w:tc>
          <w:tcPr>
            <w:tcW w:w="3730" w:type="dxa"/>
            <w:vAlign w:val="center"/>
          </w:tcPr>
          <w:p w14:paraId="76819468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应用矩阵分析</w:t>
            </w:r>
          </w:p>
          <w:p w14:paraId="2EA1CBD8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Applied Matrix Analysis</w:t>
            </w:r>
          </w:p>
        </w:tc>
        <w:tc>
          <w:tcPr>
            <w:tcW w:w="570" w:type="dxa"/>
            <w:vAlign w:val="center"/>
          </w:tcPr>
          <w:p w14:paraId="1015D96B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54</w:t>
            </w:r>
          </w:p>
        </w:tc>
        <w:tc>
          <w:tcPr>
            <w:tcW w:w="520" w:type="dxa"/>
            <w:vAlign w:val="center"/>
          </w:tcPr>
          <w:p w14:paraId="31428DFA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3</w:t>
            </w:r>
          </w:p>
        </w:tc>
        <w:tc>
          <w:tcPr>
            <w:tcW w:w="1521" w:type="dxa"/>
            <w:vAlign w:val="center"/>
          </w:tcPr>
          <w:p w14:paraId="614D7AD2">
            <w:pPr>
              <w:jc w:val="center"/>
              <w:rPr>
                <w:rFonts w:hint="default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马锦华、陈川</w:t>
            </w:r>
            <w:r>
              <w:rPr>
                <w:rFonts w:hint="eastAsia" w:eastAsia="仿宋_GB2312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  <w:t>衡益、蔡穗华</w:t>
            </w:r>
          </w:p>
        </w:tc>
        <w:tc>
          <w:tcPr>
            <w:tcW w:w="576" w:type="dxa"/>
            <w:vAlign w:val="center"/>
          </w:tcPr>
          <w:p w14:paraId="746DC3AC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  <w:t>春</w:t>
            </w:r>
          </w:p>
        </w:tc>
      </w:tr>
      <w:tr w14:paraId="52533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553" w:type="dxa"/>
            <w:vMerge w:val="continue"/>
            <w:vAlign w:val="center"/>
          </w:tcPr>
          <w:p w14:paraId="0FE923AC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restart"/>
            <w:textDirection w:val="tbRlV"/>
            <w:vAlign w:val="center"/>
          </w:tcPr>
          <w:p w14:paraId="7E0A3514">
            <w:pPr>
              <w:spacing w:line="500" w:lineRule="exact"/>
              <w:ind w:left="113" w:right="113"/>
              <w:jc w:val="center"/>
              <w:rPr>
                <w:rFonts w:hint="default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  <w:t>专业方向</w:t>
            </w:r>
          </w:p>
        </w:tc>
        <w:tc>
          <w:tcPr>
            <w:tcW w:w="1200" w:type="dxa"/>
            <w:vAlign w:val="center"/>
          </w:tcPr>
          <w:p w14:paraId="68A337ED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DCS5701</w:t>
            </w:r>
          </w:p>
        </w:tc>
        <w:tc>
          <w:tcPr>
            <w:tcW w:w="3730" w:type="dxa"/>
            <w:vAlign w:val="center"/>
          </w:tcPr>
          <w:p w14:paraId="298E8529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学术前沿讲座</w:t>
            </w:r>
          </w:p>
          <w:p w14:paraId="5F7A0022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Academic Frontier Lecture</w:t>
            </w:r>
          </w:p>
        </w:tc>
        <w:tc>
          <w:tcPr>
            <w:tcW w:w="570" w:type="dxa"/>
            <w:vAlign w:val="center"/>
          </w:tcPr>
          <w:p w14:paraId="24EDF0B9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vAlign w:val="center"/>
          </w:tcPr>
          <w:p w14:paraId="5738A0CE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327DD022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导师组</w:t>
            </w:r>
          </w:p>
        </w:tc>
        <w:tc>
          <w:tcPr>
            <w:tcW w:w="576" w:type="dxa"/>
            <w:vAlign w:val="center"/>
          </w:tcPr>
          <w:p w14:paraId="1FA68544">
            <w:pPr>
              <w:jc w:val="center"/>
              <w:rPr>
                <w:rFonts w:hint="default" w:ascii="仿宋_GB2312" w:hAnsi="华文仿宋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2"/>
                <w:sz w:val="18"/>
                <w:szCs w:val="18"/>
                <w:lang w:val="en-US" w:eastAsia="zh-CN" w:bidi="ar-SA"/>
              </w:rPr>
              <w:t>秋、春</w:t>
            </w:r>
          </w:p>
        </w:tc>
      </w:tr>
      <w:tr w14:paraId="4CF54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553" w:type="dxa"/>
            <w:vMerge w:val="continue"/>
            <w:vAlign w:val="center"/>
          </w:tcPr>
          <w:p w14:paraId="33F2CF9C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textDirection w:val="tbRlV"/>
            <w:vAlign w:val="center"/>
          </w:tcPr>
          <w:p w14:paraId="05136739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 w14:paraId="546B9720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</w:t>
            </w:r>
            <w:r>
              <w:rPr>
                <w:rFonts w:hint="eastAsia" w:eastAsia="仿宋_GB2312"/>
                <w:kern w:val="0"/>
                <w:sz w:val="18"/>
                <w:szCs w:val="18"/>
              </w:rPr>
              <w:t>5706</w:t>
            </w:r>
          </w:p>
        </w:tc>
        <w:tc>
          <w:tcPr>
            <w:tcW w:w="3730" w:type="dxa"/>
            <w:vAlign w:val="center"/>
          </w:tcPr>
          <w:p w14:paraId="2A6F8259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随机过程及应用</w:t>
            </w:r>
          </w:p>
          <w:p w14:paraId="3428317B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Stochastic Process and Its Applications</w:t>
            </w:r>
          </w:p>
        </w:tc>
        <w:tc>
          <w:tcPr>
            <w:tcW w:w="570" w:type="dxa"/>
            <w:vAlign w:val="center"/>
          </w:tcPr>
          <w:p w14:paraId="6F0B6620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54</w:t>
            </w:r>
          </w:p>
        </w:tc>
        <w:tc>
          <w:tcPr>
            <w:tcW w:w="520" w:type="dxa"/>
            <w:vAlign w:val="center"/>
          </w:tcPr>
          <w:p w14:paraId="2359C0A7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</w:t>
            </w:r>
          </w:p>
        </w:tc>
        <w:tc>
          <w:tcPr>
            <w:tcW w:w="1521" w:type="dxa"/>
            <w:vAlign w:val="center"/>
          </w:tcPr>
          <w:p w14:paraId="45409737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马啸、龚杰、蔡穗华</w:t>
            </w:r>
          </w:p>
        </w:tc>
        <w:tc>
          <w:tcPr>
            <w:tcW w:w="576" w:type="dxa"/>
            <w:vAlign w:val="center"/>
          </w:tcPr>
          <w:p w14:paraId="59F5FCEF">
            <w:pPr>
              <w:jc w:val="center"/>
              <w:rPr>
                <w:rFonts w:hint="default" w:ascii="仿宋_GB2312" w:hAnsi="华文仿宋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2"/>
                <w:sz w:val="18"/>
                <w:szCs w:val="18"/>
                <w:lang w:val="en-US" w:eastAsia="zh-CN" w:bidi="ar-SA"/>
              </w:rPr>
              <w:t>秋</w:t>
            </w:r>
          </w:p>
        </w:tc>
      </w:tr>
      <w:tr w14:paraId="6B45B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553" w:type="dxa"/>
            <w:vMerge w:val="continue"/>
            <w:vAlign w:val="center"/>
          </w:tcPr>
          <w:p w14:paraId="780514FE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textDirection w:val="tbRlV"/>
            <w:vAlign w:val="center"/>
          </w:tcPr>
          <w:p w14:paraId="76035512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 w14:paraId="78E39D08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DCS5209</w:t>
            </w:r>
          </w:p>
        </w:tc>
        <w:tc>
          <w:tcPr>
            <w:tcW w:w="3730" w:type="dxa"/>
            <w:vAlign w:val="center"/>
          </w:tcPr>
          <w:p w14:paraId="030A5A21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高等数值计算方法</w:t>
            </w:r>
          </w:p>
          <w:p w14:paraId="1C6318BF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Higher Numerical Calculation Methods</w:t>
            </w:r>
          </w:p>
        </w:tc>
        <w:tc>
          <w:tcPr>
            <w:tcW w:w="570" w:type="dxa"/>
            <w:vAlign w:val="center"/>
          </w:tcPr>
          <w:p w14:paraId="32E5B137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54</w:t>
            </w:r>
          </w:p>
        </w:tc>
        <w:tc>
          <w:tcPr>
            <w:tcW w:w="520" w:type="dxa"/>
            <w:vAlign w:val="center"/>
          </w:tcPr>
          <w:p w14:paraId="30CC6AAA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</w:t>
            </w:r>
          </w:p>
        </w:tc>
        <w:tc>
          <w:tcPr>
            <w:tcW w:w="1521" w:type="dxa"/>
            <w:vAlign w:val="center"/>
          </w:tcPr>
          <w:p w14:paraId="2D24D3E0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邹青松、谭志军、汪涛、黎卫兵</w:t>
            </w:r>
          </w:p>
        </w:tc>
        <w:tc>
          <w:tcPr>
            <w:tcW w:w="576" w:type="dxa"/>
            <w:vAlign w:val="center"/>
          </w:tcPr>
          <w:p w14:paraId="78E1033A">
            <w:pPr>
              <w:jc w:val="center"/>
              <w:rPr>
                <w:rFonts w:hint="default" w:ascii="仿宋_GB2312" w:hAnsi="华文仿宋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2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4D81B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553" w:type="dxa"/>
            <w:vMerge w:val="continue"/>
            <w:vAlign w:val="center"/>
          </w:tcPr>
          <w:p w14:paraId="6C04BB13">
            <w:pPr>
              <w:spacing w:line="5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textDirection w:val="tbRlV"/>
            <w:vAlign w:val="center"/>
          </w:tcPr>
          <w:p w14:paraId="0C89A5F1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 w14:paraId="17AFC088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DCS5203</w:t>
            </w:r>
          </w:p>
        </w:tc>
        <w:tc>
          <w:tcPr>
            <w:tcW w:w="3730" w:type="dxa"/>
            <w:vAlign w:val="center"/>
          </w:tcPr>
          <w:p w14:paraId="237F6160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最优化理论与方法</w:t>
            </w:r>
          </w:p>
          <w:p w14:paraId="77D0179B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Theory and Algorithms for Optimization</w:t>
            </w:r>
          </w:p>
        </w:tc>
        <w:tc>
          <w:tcPr>
            <w:tcW w:w="570" w:type="dxa"/>
            <w:vAlign w:val="center"/>
          </w:tcPr>
          <w:p w14:paraId="1A0039AF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54</w:t>
            </w:r>
          </w:p>
        </w:tc>
        <w:tc>
          <w:tcPr>
            <w:tcW w:w="520" w:type="dxa"/>
            <w:vAlign w:val="center"/>
          </w:tcPr>
          <w:p w14:paraId="15B1B409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</w:t>
            </w:r>
          </w:p>
        </w:tc>
        <w:tc>
          <w:tcPr>
            <w:tcW w:w="1521" w:type="dxa"/>
            <w:vAlign w:val="center"/>
          </w:tcPr>
          <w:p w14:paraId="5D547F5B"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胡建芳、凌青、</w:t>
            </w:r>
            <w:r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  <w:t>杨磊、李洽</w:t>
            </w:r>
          </w:p>
        </w:tc>
        <w:tc>
          <w:tcPr>
            <w:tcW w:w="576" w:type="dxa"/>
            <w:vAlign w:val="center"/>
          </w:tcPr>
          <w:p w14:paraId="0DA6A7D8">
            <w:pPr>
              <w:jc w:val="center"/>
              <w:rPr>
                <w:rFonts w:hint="default" w:ascii="仿宋_GB2312" w:hAnsi="华文仿宋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2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4FD02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restart"/>
            <w:textDirection w:val="tbRlV"/>
            <w:vAlign w:val="center"/>
          </w:tcPr>
          <w:p w14:paraId="21429BA2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  <w:t>选修课</w:t>
            </w: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13596B7F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DCS5233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6FE796C7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界面问题数值方法</w:t>
            </w:r>
          </w:p>
          <w:p w14:paraId="3DF4D981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Numerical Methods for Interface Problems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386026B4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5BB99889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7A1DB51B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谭志军</w:t>
            </w:r>
          </w:p>
        </w:tc>
        <w:tc>
          <w:tcPr>
            <w:tcW w:w="576" w:type="dxa"/>
            <w:vAlign w:val="center"/>
          </w:tcPr>
          <w:p w14:paraId="60B9B7E1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  <w:t>春</w:t>
            </w:r>
          </w:p>
        </w:tc>
      </w:tr>
      <w:tr w14:paraId="0BF22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48784C71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2705F24B">
            <w:pPr>
              <w:jc w:val="center"/>
              <w:rPr>
                <w:rFonts w:hint="eastAsia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</w:t>
            </w:r>
            <w:r>
              <w:rPr>
                <w:rFonts w:hint="eastAsia" w:eastAsia="仿宋_GB2312"/>
                <w:kern w:val="0"/>
                <w:sz w:val="18"/>
                <w:szCs w:val="18"/>
              </w:rPr>
              <w:t>5707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7BD50192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人工智能原理与方法</w:t>
            </w:r>
          </w:p>
          <w:p w14:paraId="279CEB38">
            <w:pPr>
              <w:jc w:val="center"/>
              <w:rPr>
                <w:rFonts w:hint="eastAsia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Principles and Methods of Artificial Intelligence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4ECEC731">
            <w:pPr>
              <w:jc w:val="center"/>
              <w:rPr>
                <w:rFonts w:hint="eastAsia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54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4DE55255">
            <w:pPr>
              <w:jc w:val="center"/>
              <w:rPr>
                <w:rFonts w:hint="eastAsia"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</w:t>
            </w:r>
          </w:p>
        </w:tc>
        <w:tc>
          <w:tcPr>
            <w:tcW w:w="1521" w:type="dxa"/>
            <w:vAlign w:val="center"/>
          </w:tcPr>
          <w:p w14:paraId="59A2203A">
            <w:pPr>
              <w:jc w:val="center"/>
              <w:rPr>
                <w:rFonts w:hint="eastAsia"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王甲海、潘嵘、饶洋辉、林</w:t>
            </w: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</w:rPr>
              <w:t>倞</w:t>
            </w:r>
            <w:r>
              <w:rPr>
                <w:rFonts w:hint="eastAsia" w:eastAsia="仿宋_GB2312"/>
                <w:kern w:val="0"/>
                <w:sz w:val="18"/>
                <w:szCs w:val="18"/>
              </w:rPr>
              <w:t>、李冠彬、赖韩江、苏勤亮、梁上松、曾坤、吴贺俊</w:t>
            </w:r>
          </w:p>
        </w:tc>
        <w:tc>
          <w:tcPr>
            <w:tcW w:w="576" w:type="dxa"/>
            <w:vAlign w:val="center"/>
          </w:tcPr>
          <w:p w14:paraId="1FE3799C">
            <w:pPr>
              <w:spacing w:line="500" w:lineRule="exact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kern w:val="0"/>
                <w:sz w:val="18"/>
                <w:szCs w:val="18"/>
                <w:lang w:val="en-US" w:eastAsia="zh-CN"/>
              </w:rPr>
              <w:t>秋</w:t>
            </w:r>
          </w:p>
        </w:tc>
      </w:tr>
      <w:tr w14:paraId="318CB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4ED81292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6E91B08F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</w:t>
            </w:r>
            <w:r>
              <w:rPr>
                <w:rFonts w:hint="eastAsia" w:eastAsia="仿宋_GB2312"/>
                <w:kern w:val="0"/>
                <w:sz w:val="18"/>
                <w:szCs w:val="18"/>
              </w:rPr>
              <w:t>54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495A32BD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现代偏微分方程计算方法</w:t>
            </w:r>
          </w:p>
          <w:p w14:paraId="1F60A76C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Modern Methods for Calculating Partial Differential Equations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30614AB7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1C33ECCF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1B63FB0F"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邹青松、谭志军</w:t>
            </w:r>
            <w:r>
              <w:rPr>
                <w:rFonts w:hint="eastAsia" w:eastAsia="仿宋_GB2312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  <w:t>汪涛</w:t>
            </w:r>
          </w:p>
        </w:tc>
        <w:tc>
          <w:tcPr>
            <w:tcW w:w="576" w:type="dxa"/>
            <w:vAlign w:val="center"/>
          </w:tcPr>
          <w:p w14:paraId="6D4CBBEA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4DAB9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65A97067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275625D6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</w:t>
            </w:r>
            <w:r>
              <w:rPr>
                <w:rFonts w:hint="eastAsia" w:eastAsia="仿宋_GB2312"/>
                <w:kern w:val="0"/>
                <w:sz w:val="18"/>
                <w:szCs w:val="18"/>
              </w:rPr>
              <w:t>5705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0192BCEB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计算机程序理论与模型</w:t>
            </w:r>
          </w:p>
          <w:p w14:paraId="650F44FA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Computer Program Theory and Modeling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19C48635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7B05D5F1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5A1ED6A2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万海</w:t>
            </w:r>
          </w:p>
        </w:tc>
        <w:tc>
          <w:tcPr>
            <w:tcW w:w="576" w:type="dxa"/>
            <w:vAlign w:val="center"/>
          </w:tcPr>
          <w:p w14:paraId="59A1E343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413A8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6E4A5281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750D25EF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DCS5256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4EFE5D68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复变函数</w:t>
            </w:r>
          </w:p>
          <w:p w14:paraId="2C748B81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Functions of Complex Variables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3E551104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5E27C5E5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15308A8D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骆伟祺</w:t>
            </w:r>
          </w:p>
        </w:tc>
        <w:tc>
          <w:tcPr>
            <w:tcW w:w="576" w:type="dxa"/>
            <w:vAlign w:val="center"/>
          </w:tcPr>
          <w:p w14:paraId="2B89769C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秋</w:t>
            </w:r>
          </w:p>
        </w:tc>
      </w:tr>
      <w:tr w14:paraId="4E2EC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1C0994E4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4873A672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DCS5235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1C7E0CE6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线性积分方程理论与算法</w:t>
            </w:r>
          </w:p>
          <w:p w14:paraId="75633084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Theory and Algorithms of Linear Integral Equations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44B77E76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5F0C4CBF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364F82C4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江颖、衡益</w:t>
            </w:r>
          </w:p>
        </w:tc>
        <w:tc>
          <w:tcPr>
            <w:tcW w:w="576" w:type="dxa"/>
            <w:vAlign w:val="center"/>
          </w:tcPr>
          <w:p w14:paraId="0D1DFF5E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6B58D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0D7970B7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048800C4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DCS5237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65AE1BEE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量子计算</w:t>
            </w:r>
          </w:p>
          <w:p w14:paraId="5626C4C7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Quantum Computation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16CB2D76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0E378600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6A962595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邱道文、李绿周</w:t>
            </w:r>
          </w:p>
        </w:tc>
        <w:tc>
          <w:tcPr>
            <w:tcW w:w="576" w:type="dxa"/>
            <w:vAlign w:val="center"/>
          </w:tcPr>
          <w:p w14:paraId="5405C363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14C9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56AEB2CE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21D777AF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DCS5704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2F84130C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量子信息论与编码</w:t>
            </w:r>
          </w:p>
          <w:p w14:paraId="626FE3BA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Quantum Information Theory and Coding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16B6A755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1D10799E">
            <w:pPr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41F6F12E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马啸、李绿周</w:t>
            </w:r>
          </w:p>
        </w:tc>
        <w:tc>
          <w:tcPr>
            <w:tcW w:w="576" w:type="dxa"/>
            <w:vAlign w:val="center"/>
          </w:tcPr>
          <w:p w14:paraId="493C6CFB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秋</w:t>
            </w:r>
          </w:p>
        </w:tc>
      </w:tr>
      <w:tr w14:paraId="109BB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1BADAEE7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523787DE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DCS5230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337C7BFB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有限域基础</w:t>
            </w:r>
          </w:p>
          <w:p w14:paraId="56D1E405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Introduction to Finite Fields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23EF8D13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3AEFC80F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57AD8C7A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韦宝典、杜育松</w:t>
            </w:r>
          </w:p>
        </w:tc>
        <w:tc>
          <w:tcPr>
            <w:tcW w:w="576" w:type="dxa"/>
            <w:vAlign w:val="center"/>
          </w:tcPr>
          <w:p w14:paraId="4B4EC283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11DA5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158E3D8B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2BEBA069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DCS5206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3F96A12A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数字图像处理</w:t>
            </w:r>
          </w:p>
          <w:p w14:paraId="542D4AB6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Digital Image Processing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446CC491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54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4DCEFC98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</w:t>
            </w:r>
          </w:p>
        </w:tc>
        <w:tc>
          <w:tcPr>
            <w:tcW w:w="1521" w:type="dxa"/>
            <w:vAlign w:val="center"/>
          </w:tcPr>
          <w:p w14:paraId="2839ECA8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谢晓华、赖剑煌、郑慧诚、刘宁、曾坤、潘炎、张青</w:t>
            </w:r>
          </w:p>
        </w:tc>
        <w:tc>
          <w:tcPr>
            <w:tcW w:w="576" w:type="dxa"/>
            <w:vAlign w:val="center"/>
          </w:tcPr>
          <w:p w14:paraId="111C807E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秋</w:t>
            </w:r>
          </w:p>
        </w:tc>
      </w:tr>
      <w:tr w14:paraId="0F319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5255E6A4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074ECDD9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DCS5232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255C7F37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深度学习前沿</w:t>
            </w:r>
          </w:p>
          <w:p w14:paraId="39596B67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Frontiers of Deep Learning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2A27265F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4FCF587A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4325EBD3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张冬雨、潘炎、李冠彬、王可泽</w:t>
            </w:r>
          </w:p>
        </w:tc>
        <w:tc>
          <w:tcPr>
            <w:tcW w:w="576" w:type="dxa"/>
            <w:vAlign w:val="center"/>
          </w:tcPr>
          <w:p w14:paraId="4A30290D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0923E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347D57EF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6E98001C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DCS7202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5FE71AF2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模式识别</w:t>
            </w:r>
          </w:p>
          <w:p w14:paraId="1D2A92CD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Pattern Recognition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2A6945D4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54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25854FD3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3</w:t>
            </w:r>
          </w:p>
        </w:tc>
        <w:tc>
          <w:tcPr>
            <w:tcW w:w="1521" w:type="dxa"/>
            <w:vAlign w:val="center"/>
          </w:tcPr>
          <w:p w14:paraId="6186A2ED"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郑伟诗、郑慧诚、胡建芳、马锦华、王瑞轩</w:t>
            </w:r>
            <w:r>
              <w:rPr>
                <w:rFonts w:hint="eastAsia" w:eastAsia="仿宋_GB2312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  <w:t>王昌栋</w:t>
            </w:r>
          </w:p>
        </w:tc>
        <w:tc>
          <w:tcPr>
            <w:tcW w:w="576" w:type="dxa"/>
            <w:vAlign w:val="center"/>
          </w:tcPr>
          <w:p w14:paraId="3F239CCF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秋</w:t>
            </w:r>
          </w:p>
        </w:tc>
      </w:tr>
      <w:tr w14:paraId="2B4CC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6A674EC0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38E9B853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DCS5234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28CB3516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自然语言处理</w:t>
            </w:r>
          </w:p>
          <w:p w14:paraId="2555372E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Natural Language Processing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316AD283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7DC7A52D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0ACA127E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权小军、潘嵘</w:t>
            </w:r>
          </w:p>
        </w:tc>
        <w:tc>
          <w:tcPr>
            <w:tcW w:w="576" w:type="dxa"/>
            <w:vAlign w:val="center"/>
          </w:tcPr>
          <w:p w14:paraId="6C47B3EC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秋</w:t>
            </w:r>
          </w:p>
        </w:tc>
      </w:tr>
      <w:tr w14:paraId="678A7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584285A7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2F1223E5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DCS5257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3DFBC7CA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强化学习原理及应用</w:t>
            </w:r>
          </w:p>
          <w:p w14:paraId="45EC3ACE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Principles and Applications of Reinforcement Learning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1F553E42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4D821CEF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076311DA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余超</w:t>
            </w:r>
          </w:p>
        </w:tc>
        <w:tc>
          <w:tcPr>
            <w:tcW w:w="576" w:type="dxa"/>
            <w:vAlign w:val="center"/>
          </w:tcPr>
          <w:p w14:paraId="4062E4E9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0EA94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6EF94678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2E662CC5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DCS5242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208B0A7C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密码学前沿技术</w:t>
            </w:r>
          </w:p>
          <w:p w14:paraId="47E2F529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Advanced Topics of Modern Cryptography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115FE791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2423D766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15BBFD7A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张方国、田海博</w:t>
            </w:r>
          </w:p>
        </w:tc>
        <w:tc>
          <w:tcPr>
            <w:tcW w:w="576" w:type="dxa"/>
            <w:vAlign w:val="center"/>
          </w:tcPr>
          <w:p w14:paraId="7C7EF7AB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48AFE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6CCC0ACE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31C6DAE4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DCS5253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1657C716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生物信息计算前沿</w:t>
            </w:r>
          </w:p>
          <w:p w14:paraId="46B9675E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Frontiers of Bioinformatics Computing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2F7A8A0B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1044E99E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5331037C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杨跃东</w:t>
            </w:r>
            <w:r>
              <w:rPr>
                <w:rFonts w:hint="eastAsia" w:eastAsia="仿宋_GB2312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eastAsia="仿宋_GB2312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王瑞轩、王桢</w:t>
            </w:r>
          </w:p>
        </w:tc>
        <w:tc>
          <w:tcPr>
            <w:tcW w:w="576" w:type="dxa"/>
            <w:vAlign w:val="center"/>
          </w:tcPr>
          <w:p w14:paraId="2E5BE8C1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秋</w:t>
            </w:r>
          </w:p>
        </w:tc>
      </w:tr>
      <w:tr w14:paraId="04212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0BA4C0E7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0D29F087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DCS5260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1CD16B4B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HPC+AI科学计算前沿</w:t>
            </w:r>
          </w:p>
          <w:p w14:paraId="69F89529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HPC+AI for Science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58F57624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3</w:t>
            </w:r>
            <w:r>
              <w:rPr>
                <w:rFonts w:eastAsia="仿宋_GB2312"/>
                <w:kern w:val="0"/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69583A22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16E20F57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江颖等</w:t>
            </w:r>
            <w:r>
              <w:rPr>
                <w:rFonts w:hint="eastAsia" w:eastAsia="仿宋_GB2312"/>
                <w:kern w:val="0"/>
                <w:sz w:val="18"/>
                <w:szCs w:val="18"/>
                <w:lang w:val="en-US" w:eastAsia="zh-CN"/>
              </w:rPr>
              <w:t>导师组</w:t>
            </w:r>
          </w:p>
        </w:tc>
        <w:tc>
          <w:tcPr>
            <w:tcW w:w="576" w:type="dxa"/>
            <w:vAlign w:val="center"/>
          </w:tcPr>
          <w:p w14:paraId="4B887BA5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  <w:tr w14:paraId="237C3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63" w:type="dxa"/>
            <w:gridSpan w:val="2"/>
            <w:vMerge w:val="continue"/>
            <w:textDirection w:val="tbRlV"/>
            <w:vAlign w:val="center"/>
          </w:tcPr>
          <w:p w14:paraId="1D3335DD">
            <w:pPr>
              <w:spacing w:line="500" w:lineRule="exact"/>
              <w:ind w:left="113" w:right="113"/>
              <w:jc w:val="center"/>
              <w:rPr>
                <w:rFonts w:hint="eastAsia" w:ascii="仿宋_GB2312" w:hAnsi="华文仿宋" w:eastAsia="仿宋_GB2312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 w14:paraId="2F38EC83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DCS5702</w:t>
            </w:r>
          </w:p>
        </w:tc>
        <w:tc>
          <w:tcPr>
            <w:tcW w:w="3730" w:type="dxa"/>
            <w:tcBorders>
              <w:bottom w:val="single" w:color="auto" w:sz="4" w:space="0"/>
            </w:tcBorders>
            <w:vAlign w:val="center"/>
          </w:tcPr>
          <w:p w14:paraId="0981E0E1">
            <w:pPr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人工智能大数据与超算融合系统</w:t>
            </w:r>
          </w:p>
          <w:p w14:paraId="618FBA5E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Artificial Intelligence Big Data and Supercomputing Integrated System</w:t>
            </w: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14:paraId="73213E7A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bottom w:val="single" w:color="auto" w:sz="4" w:space="0"/>
            </w:tcBorders>
            <w:vAlign w:val="center"/>
          </w:tcPr>
          <w:p w14:paraId="2A54B96C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1521" w:type="dxa"/>
            <w:vAlign w:val="center"/>
          </w:tcPr>
          <w:p w14:paraId="30210F85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18"/>
                <w:szCs w:val="18"/>
              </w:rPr>
              <w:t>吴维刚、江颖、陈志广</w:t>
            </w:r>
          </w:p>
        </w:tc>
        <w:tc>
          <w:tcPr>
            <w:tcW w:w="576" w:type="dxa"/>
            <w:vAlign w:val="center"/>
          </w:tcPr>
          <w:p w14:paraId="37F4D0EA">
            <w:pPr>
              <w:spacing w:line="500" w:lineRule="exact"/>
              <w:jc w:val="center"/>
              <w:rPr>
                <w:rFonts w:hint="default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0"/>
                <w:sz w:val="18"/>
                <w:szCs w:val="18"/>
                <w:lang w:val="en-US" w:eastAsia="zh-CN" w:bidi="ar-SA"/>
              </w:rPr>
              <w:t>春</w:t>
            </w:r>
          </w:p>
        </w:tc>
      </w:tr>
      <w:bookmarkEnd w:id="0"/>
    </w:tbl>
    <w:p w14:paraId="39288596">
      <w:pPr>
        <w:numPr>
          <w:ilvl w:val="0"/>
          <w:numId w:val="0"/>
        </w:numPr>
        <w:spacing w:line="500" w:lineRule="exact"/>
        <w:ind w:left="567" w:leftChars="0"/>
        <w:rPr>
          <w:rFonts w:hint="eastAsia" w:eastAsia="黑体"/>
          <w:bCs/>
          <w:sz w:val="32"/>
          <w:szCs w:val="32"/>
          <w:lang w:eastAsia="zh-CN"/>
        </w:rPr>
      </w:pPr>
    </w:p>
    <w:p w14:paraId="3D2622E9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培养环节与要求</w:t>
      </w:r>
    </w:p>
    <w:p w14:paraId="7B160E85">
      <w:pPr>
        <w:adjustRightInd w:val="0"/>
        <w:snapToGrid w:val="0"/>
        <w:spacing w:line="5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1.</w:t>
      </w:r>
      <w:r>
        <w:rPr>
          <w:rFonts w:hint="eastAsia"/>
        </w:rPr>
        <w:t xml:space="preserve"> </w:t>
      </w:r>
      <w:r>
        <w:rPr>
          <w:rFonts w:hint="eastAsia" w:eastAsia="仿宋_GB2312"/>
          <w:sz w:val="28"/>
          <w:szCs w:val="28"/>
        </w:rPr>
        <w:t>入学后三个月内须与导师协商制定个人培养计划。</w:t>
      </w:r>
    </w:p>
    <w:p w14:paraId="18380845">
      <w:pPr>
        <w:adjustRightInd w:val="0"/>
        <w:snapToGrid w:val="0"/>
        <w:spacing w:line="5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2. 一般应在导师指导下参加讨论班、读书报告、学术活动等。</w:t>
      </w:r>
    </w:p>
    <w:p w14:paraId="38A1ED99">
      <w:pPr>
        <w:adjustRightInd w:val="0"/>
        <w:snapToGrid w:val="0"/>
        <w:spacing w:line="5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3. 在第二学年秋季学期结束前进行开题报告。</w:t>
      </w:r>
    </w:p>
    <w:p w14:paraId="3724D8B4">
      <w:pPr>
        <w:adjustRightInd w:val="0"/>
        <w:snapToGrid w:val="0"/>
        <w:spacing w:line="500" w:lineRule="exact"/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4. 在第二学年春季学期结束前进行中期考核</w:t>
      </w:r>
      <w:r>
        <w:rPr>
          <w:rFonts w:eastAsia="仿宋_GB2312"/>
          <w:sz w:val="28"/>
          <w:szCs w:val="28"/>
        </w:rPr>
        <w:t>。</w:t>
      </w:r>
      <w:r>
        <w:rPr>
          <w:rFonts w:hint="eastAsia" w:eastAsia="仿宋_GB2312"/>
          <w:sz w:val="28"/>
          <w:szCs w:val="28"/>
        </w:rPr>
        <w:t>开题报告与中期考核工作时间间隔一般不少于6个月。</w:t>
      </w:r>
    </w:p>
    <w:p w14:paraId="5381EB42">
      <w:pPr>
        <w:adjustRightInd w:val="0"/>
        <w:snapToGrid w:val="0"/>
        <w:spacing w:line="500" w:lineRule="exact"/>
        <w:ind w:firstLine="560" w:firstLineChars="200"/>
        <w:rPr>
          <w:rFonts w:hint="eastAsia" w:eastAsia="仿宋_GB2312"/>
          <w:sz w:val="28"/>
          <w:szCs w:val="28"/>
        </w:rPr>
      </w:pPr>
    </w:p>
    <w:p w14:paraId="1B9A4E3B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学位论文</w:t>
      </w:r>
    </w:p>
    <w:p w14:paraId="09B7E2F0">
      <w:pPr>
        <w:adjustRightInd w:val="0"/>
        <w:snapToGrid w:val="0"/>
        <w:spacing w:line="500" w:lineRule="exact"/>
        <w:ind w:firstLine="560" w:firstLineChars="200"/>
        <w:rPr>
          <w:rFonts w:eastAsia="仿宋_GB2312"/>
          <w:color w:val="000000"/>
          <w:sz w:val="28"/>
          <w:szCs w:val="28"/>
        </w:rPr>
      </w:pPr>
      <w:r>
        <w:rPr>
          <w:rFonts w:hint="eastAsia" w:eastAsia="仿宋_GB2312"/>
          <w:color w:val="000000"/>
          <w:sz w:val="28"/>
          <w:szCs w:val="28"/>
        </w:rPr>
        <w:t>1. 学位论文应在导师指导下独立完成。硕士研究生应至少有二分之一时间完成学位论文。</w:t>
      </w:r>
    </w:p>
    <w:p w14:paraId="6E89B8D2">
      <w:pPr>
        <w:adjustRightInd w:val="0"/>
        <w:snapToGrid w:val="0"/>
        <w:spacing w:line="500" w:lineRule="exact"/>
        <w:ind w:firstLine="560" w:firstLineChars="200"/>
        <w:rPr>
          <w:rFonts w:eastAsia="仿宋_GB2312"/>
          <w:color w:val="000000"/>
          <w:sz w:val="28"/>
          <w:szCs w:val="28"/>
        </w:rPr>
      </w:pPr>
      <w:r>
        <w:rPr>
          <w:rFonts w:hint="eastAsia" w:eastAsia="仿宋_GB2312"/>
          <w:color w:val="000000"/>
          <w:sz w:val="28"/>
          <w:szCs w:val="28"/>
        </w:rPr>
        <w:t>2. 学位论文写作规范参照《中山大学学位与研究生教育工作手册》的有关规定执行。</w:t>
      </w:r>
    </w:p>
    <w:p w14:paraId="348453DD">
      <w:pPr>
        <w:adjustRightInd w:val="0"/>
        <w:snapToGrid w:val="0"/>
        <w:spacing w:line="5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color w:val="000000"/>
          <w:sz w:val="28"/>
          <w:szCs w:val="28"/>
        </w:rPr>
        <w:t>3. 硕士学位论文应对科学研究、技术进步、经济建设或社会建设有一定的理论和实践意义；应体现作者基本掌握本学科领域的研究方法和技能，具有一定的分析问题和解决问题的能力；论文内容应充分反映作者具有坚实的基础理论和系统的专门知识；论文要符合科学研究的规范，应具有新见解或新成果，结论应符合逻辑。</w:t>
      </w:r>
    </w:p>
    <w:p w14:paraId="53921DA0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论文答辩与学位授予</w:t>
      </w:r>
    </w:p>
    <w:p w14:paraId="278762E3">
      <w:pPr>
        <w:adjustRightInd w:val="0"/>
        <w:snapToGrid w:val="0"/>
        <w:spacing w:line="500" w:lineRule="exact"/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硕士研究生修满培养方案规定的学分，课程考核合格，方可申请学位论文答辩。学位论文经导师审阅同意，通过预答辩、重合度检测后，方可申请送审，硕士论文评阅人应是本学科较高水平专家，每篇硕士学位论文评阅人一般为3名。学位论文经评阅人评审认为达到与申请学位相应的学术水平，方可组织答辩会。硕士答辩委员会由3-5人组成，须有外单位专家参加。论文答辩程序严格根据《中山大学博士硕士学位授予工作细则》的规定执行。通过硕士学位论文答辩者，经学部学位评定委员会审核、学校学位评定委员会审批，可授予理学硕士学位。</w:t>
      </w:r>
    </w:p>
    <w:p w14:paraId="07F06D3B">
      <w:pPr>
        <w:adjustRightInd w:val="0"/>
        <w:snapToGrid w:val="0"/>
        <w:spacing w:line="500" w:lineRule="exact"/>
        <w:ind w:firstLine="560" w:firstLineChars="200"/>
        <w:rPr>
          <w:rFonts w:hint="eastAsia" w:eastAsia="仿宋_GB2312"/>
          <w:sz w:val="28"/>
          <w:szCs w:val="28"/>
        </w:rPr>
      </w:pPr>
    </w:p>
    <w:p w14:paraId="0FE95730">
      <w:pPr>
        <w:numPr>
          <w:ilvl w:val="0"/>
          <w:numId w:val="1"/>
        </w:numPr>
        <w:spacing w:line="50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 xml:space="preserve"> 必读和选读书目</w:t>
      </w:r>
    </w:p>
    <w:p w14:paraId="54D6A183">
      <w:pPr>
        <w:adjustRightInd w:val="0"/>
        <w:snapToGrid w:val="0"/>
        <w:spacing w:line="500" w:lineRule="exact"/>
        <w:jc w:val="left"/>
        <w:rPr>
          <w:rFonts w:hint="eastAsia" w:ascii="仿宋_GB2312" w:hAnsi="宋体" w:eastAsia="仿宋_GB2312"/>
          <w:b/>
          <w:sz w:val="28"/>
          <w:szCs w:val="28"/>
        </w:rPr>
      </w:pPr>
    </w:p>
    <w:p w14:paraId="48FEEFE3">
      <w:pPr>
        <w:adjustRightInd w:val="0"/>
        <w:snapToGrid w:val="0"/>
        <w:spacing w:line="500" w:lineRule="exact"/>
        <w:jc w:val="left"/>
        <w:rPr>
          <w:rFonts w:ascii="仿宋_GB2312" w:eastAsia="仿宋_GB2312"/>
        </w:rPr>
      </w:pPr>
      <w:r>
        <w:rPr>
          <w:rFonts w:hint="eastAsia" w:ascii="仿宋_GB2312" w:hAnsi="宋体" w:eastAsia="仿宋_GB2312"/>
          <w:b/>
          <w:sz w:val="28"/>
          <w:szCs w:val="28"/>
        </w:rPr>
        <w:t>计算数学方向</w:t>
      </w:r>
    </w:p>
    <w:tbl>
      <w:tblPr>
        <w:tblStyle w:val="18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680"/>
        <w:gridCol w:w="1980"/>
        <w:gridCol w:w="1440"/>
      </w:tblGrid>
      <w:tr w14:paraId="29595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5B45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序号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5A9B5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著作或期刊名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C4EB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作者或出版社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45A4E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必读或选读</w:t>
            </w:r>
          </w:p>
        </w:tc>
      </w:tr>
      <w:tr w14:paraId="532D5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769A8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D366F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泛函分析（上册）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E2974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张恭庆、林源渠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8F49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4340B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8E1AE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68076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索波列夫空间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B2E2D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李立康、郭毓驹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18D7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127A3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3DE69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8322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Functional Analysis（泛函分析）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97528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Rudin（美），赵俊峰、刘培德译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0820E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6C1A7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35D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9245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C程序设计语言（The C Programming Language）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3F01B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Prentice Hall（清华大学出版社）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EEEC3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66181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16CF4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DBEC1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数据结构C++语言描述（Data Structures with C++）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BE474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Prentice Hall （清华大学出版社）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81706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2390F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549AC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8168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面向对象系统的使用实例图（Use Case Maps for Object-Oriented Systems）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66C4D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清华大学出版社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5A5A8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57FB2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FDAA9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44A7B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软件工程（Software Engineering）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A164B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杨文龙等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60B45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1E2CA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E2978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8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9CA77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数值分析引论（An Introduction to Numerical Analysis）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92A53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K.E. 阿特金森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965A1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0E15C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C3549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9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4FFC0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数值分析 （Numerical Analysis）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40E2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颜庆津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F470E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26DFD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2329C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C86AE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矩阵计算引论 （An Introduction to Matrix Computation）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78C5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G.W. 斯图尔特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0ACBE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258B7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4C2DA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40EC6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Matrix Analysis （矩阵分析）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772DC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R.A. Horn, C.R. Fohnson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E2CDB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742C3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11FBC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12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B660E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Matrix Computation （矩阵计算）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7238A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G.H. Golub, C.F. Van Loan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B5A19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1C573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26FAB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2D1C1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Computer Graphics, C Version 2nd Ed （计算机图形学（C语言版），第二版）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5C2C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清华大学出版社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D912D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52287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75FE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82F76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Computer Networks, 3 rd ED（计算机网络，第三版）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A15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清华大学出版社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D6B9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6D734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52D57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95924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Multimedia: Computing, Communications &amp; Applications （多媒体技术：计算、通信及应用）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DA1B4">
            <w:pPr>
              <w:widowControl/>
              <w:spacing w:before="100" w:beforeAutospacing="1" w:after="100" w:afterAutospacing="1"/>
              <w:ind w:firstLine="180" w:firstLineChars="100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Prentice Hall（清华大学出版社）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5840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2DB2A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11C3D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16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53E61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中国科学（Science in China）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6F092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7E901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7CBE0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2BD4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3C4ED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计算数学（Journal of Computational Mathematics）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68F2B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F1AA5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3F2B8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9FDCA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18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9E30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数值计算与计算机应用（Journal on Numerical Methods and Computer Applications）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8848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0ECD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7C5DC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2AD37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19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BCC2E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Computer Math. Appl.（计算机数学应用）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4D93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D6739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38661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D04B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A5252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SIAM J. Numer. Anal. （SIAM数值分析）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4E0F8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74105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4AF33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DB57A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21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7E8C8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SIAM J. Scientific Computing （SIAM科学计算）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A03DF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332DD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4569F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95AD8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22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EF7F3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M</w:t>
            </w:r>
            <w:r>
              <w:rPr>
                <w:rFonts w:eastAsia="仿宋_GB2312"/>
                <w:sz w:val="18"/>
                <w:szCs w:val="18"/>
              </w:rPr>
              <w:t>atrix Computations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AD2E9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G</w:t>
            </w:r>
            <w:r>
              <w:rPr>
                <w:rFonts w:eastAsia="仿宋_GB2312"/>
                <w:sz w:val="18"/>
                <w:szCs w:val="18"/>
              </w:rPr>
              <w:t>. H. Golub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9FFE0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01F0D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CCF8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23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34C7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矩阵计算的理论及方法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9F8FB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徐树方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1770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63BDA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AE993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24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75D6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A</w:t>
            </w:r>
            <w:r>
              <w:rPr>
                <w:rFonts w:eastAsia="仿宋_GB2312"/>
                <w:sz w:val="18"/>
                <w:szCs w:val="18"/>
              </w:rPr>
              <w:t>n Introduction to Optimization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85D85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 E. K. Chong&amp;S. Zak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89BC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5C211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FC9C0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25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BCE2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T</w:t>
            </w:r>
            <w:r>
              <w:rPr>
                <w:rFonts w:eastAsia="仿宋_GB2312"/>
                <w:sz w:val="18"/>
                <w:szCs w:val="18"/>
              </w:rPr>
              <w:t>he Top Ten Algorithms in Data M</w:t>
            </w:r>
            <w:r>
              <w:rPr>
                <w:rFonts w:hint="eastAsia" w:eastAsia="仿宋_GB2312"/>
                <w:sz w:val="18"/>
                <w:szCs w:val="18"/>
              </w:rPr>
              <w:t>i</w:t>
            </w:r>
            <w:r>
              <w:rPr>
                <w:rFonts w:eastAsia="仿宋_GB2312"/>
                <w:sz w:val="18"/>
                <w:szCs w:val="18"/>
              </w:rPr>
              <w:t>ning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15EE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 X. Wu&amp;V. Kumar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2937D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43D4F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9F93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26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BD47A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计算数学</w:t>
            </w:r>
            <w:r>
              <w:rPr>
                <w:rFonts w:eastAsia="仿宋_GB2312"/>
                <w:sz w:val="18"/>
                <w:szCs w:val="18"/>
              </w:rPr>
              <w:t xml:space="preserve"> </w:t>
            </w:r>
            <w:r>
              <w:rPr>
                <w:rFonts w:hint="eastAsia" w:eastAsia="仿宋_GB2312"/>
                <w:sz w:val="18"/>
                <w:szCs w:val="18"/>
              </w:rPr>
              <w:t>（</w:t>
            </w:r>
            <w:r>
              <w:rPr>
                <w:rFonts w:eastAsia="仿宋_GB2312"/>
                <w:sz w:val="18"/>
                <w:szCs w:val="18"/>
              </w:rPr>
              <w:t>M</w:t>
            </w:r>
            <w:r>
              <w:rPr>
                <w:rFonts w:hint="eastAsia" w:eastAsia="仿宋_GB2312"/>
                <w:sz w:val="18"/>
                <w:szCs w:val="18"/>
              </w:rPr>
              <w:t>athe</w:t>
            </w:r>
            <w:r>
              <w:rPr>
                <w:rFonts w:eastAsia="仿宋_GB2312"/>
                <w:sz w:val="18"/>
                <w:szCs w:val="18"/>
              </w:rPr>
              <w:t>matica Numerica Sinica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506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0FBB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59398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F1EA7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27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7C17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高等学校计算数学学报（N</w:t>
            </w:r>
            <w:r>
              <w:rPr>
                <w:rFonts w:eastAsia="仿宋_GB2312"/>
                <w:sz w:val="18"/>
                <w:szCs w:val="18"/>
              </w:rPr>
              <w:t>umerical Mathematics-A J</w:t>
            </w:r>
            <w:r>
              <w:rPr>
                <w:rFonts w:hint="eastAsia" w:eastAsia="仿宋_GB2312"/>
                <w:sz w:val="18"/>
                <w:szCs w:val="18"/>
              </w:rPr>
              <w:t>ournal</w:t>
            </w:r>
            <w:r>
              <w:rPr>
                <w:rFonts w:eastAsia="仿宋_GB2312"/>
                <w:sz w:val="18"/>
                <w:szCs w:val="18"/>
              </w:rPr>
              <w:t xml:space="preserve"> of Chinese Universities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6A390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DAC59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05E9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C98D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28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216AB8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SIAM Review (SIAM 评论）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7E82B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26C80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00B8E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B66E1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29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469F9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SIAM Journal on Computing（SIAM 计算）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63256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5E11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0549E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B661C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30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916CA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SIAM Journal on Matrix Analysis and Applications （SIAM 矩阵分析及应用）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C27C9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F3325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3B921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4622C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31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722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SIAM Journal on Mathematical Analysis （SIAM 数学分析）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608D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EBFD5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6F47D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DDF1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32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594D5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Mathematics of Computation （计算数学）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B90DD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12DD3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0F523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9E61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33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AAD3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Numerische Mathematik （计算数学）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3860B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A5240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45B22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08EC2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34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19353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Journal of Computational Physisc (计算物理)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DB1BE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890A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47BAD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D4296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35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069C1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Journal of Computational and Applied Mathematics （计算与应用数学）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5F53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D3299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15214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C5E2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36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D48D74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Inverse Problems （反问题）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37715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C0F3C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</w:tbl>
    <w:p w14:paraId="391C622E">
      <w:pPr>
        <w:adjustRightInd w:val="0"/>
        <w:snapToGrid w:val="0"/>
        <w:spacing w:line="500" w:lineRule="exact"/>
        <w:jc w:val="left"/>
        <w:rPr>
          <w:rFonts w:eastAsia="仿宋_GB2312"/>
          <w:b/>
          <w:sz w:val="28"/>
          <w:szCs w:val="28"/>
        </w:rPr>
      </w:pPr>
    </w:p>
    <w:tbl>
      <w:tblPr>
        <w:tblStyle w:val="18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680"/>
        <w:gridCol w:w="1980"/>
        <w:gridCol w:w="1440"/>
      </w:tblGrid>
      <w:tr w14:paraId="6AA23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749A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35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122D1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IEEE Software Magazine （IEEE软件杂志）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1B112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2F733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087DA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57784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36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6F333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ACM Transact on  Mathematical Software （美国计算机学会数学软件）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CA2E6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23450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34CF6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8692A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37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744B3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J. Math. Biology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37C11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B6787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658F5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81D53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38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9B94B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J. Math Chemistry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6384E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ADBCE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1754E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D3280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39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72D3E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J. Math. Economy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F8E12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A2D9E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00DCC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C33A3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40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5ADE9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Pattern Recogntion （模式识别）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D983E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638C6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70C6A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04F37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41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BC846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IEEE Transactions on information theory （IEEE信息理论）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EFBDC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10196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305DC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1A9C8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42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B09A4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IEEE transactions on PAMI （IEEE模式分析与机器智能）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DA3F4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7BD81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3643B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0B86E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43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010BA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IEEE transactions on SP （IEEE 信号处理）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E9552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35E40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0FAB8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3A2C3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44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7E9FB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IEEE transactions on IP （IEEE 图像处理）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8258A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4F36D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48E71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84178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45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47176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J. Math. Ana. &amp; Appl. （数学分析及其应用）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17FAD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BF874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7CE7E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57486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46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41AFD">
            <w:pPr>
              <w:widowControl/>
              <w:spacing w:before="100" w:beforeAutospacing="1" w:after="100" w:afterAutospacing="1" w:line="360" w:lineRule="auto"/>
              <w:ind w:firstLine="180" w:firstLineChars="100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Int’l  J of Computer Vision （计算机视觉）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C1B61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305F3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14:paraId="42D91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A00F9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47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44E90">
            <w:pPr>
              <w:widowControl/>
              <w:spacing w:before="100" w:beforeAutospacing="1" w:after="100" w:afterAutospacing="1" w:line="360" w:lineRule="auto"/>
              <w:ind w:firstLine="180" w:firstLineChars="100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Mathematical Aspect of Classical and Celestial Mechanics (Third Editon)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6B8AF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V.I. Arnold等，科学出版社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811A1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</w:tbl>
    <w:p w14:paraId="1C797936">
      <w:pPr>
        <w:adjustRightInd w:val="0"/>
        <w:snapToGrid w:val="0"/>
        <w:spacing w:line="500" w:lineRule="exact"/>
        <w:jc w:val="left"/>
        <w:rPr>
          <w:rFonts w:ascii="仿宋_GB2312" w:eastAsia="仿宋_GB2312"/>
        </w:rPr>
      </w:pPr>
    </w:p>
    <w:p w14:paraId="24912EC9">
      <w:pPr>
        <w:snapToGrid w:val="0"/>
        <w:spacing w:line="360" w:lineRule="auto"/>
        <w:ind w:firstLine="4270" w:firstLineChars="1525"/>
        <w:rPr>
          <w:rFonts w:eastAsia="黑体"/>
          <w:bCs/>
          <w:color w:val="000000"/>
          <w:sz w:val="28"/>
          <w:szCs w:val="28"/>
        </w:rPr>
      </w:pPr>
    </w:p>
    <w:p w14:paraId="70BC8B0A">
      <w:pPr>
        <w:snapToGrid w:val="0"/>
        <w:spacing w:line="360" w:lineRule="auto"/>
        <w:ind w:firstLine="4270" w:firstLineChars="1525"/>
        <w:rPr>
          <w:rFonts w:eastAsia="楷体"/>
          <w:color w:val="000000"/>
          <w:sz w:val="28"/>
          <w:szCs w:val="28"/>
        </w:rPr>
      </w:pPr>
      <w:r>
        <w:rPr>
          <w:rFonts w:eastAsia="黑体"/>
          <w:bCs/>
          <w:color w:val="000000"/>
          <w:sz w:val="28"/>
          <w:szCs w:val="28"/>
        </w:rPr>
        <w:t>负责人</w:t>
      </w:r>
      <w:r>
        <w:rPr>
          <w:rFonts w:hint="eastAsia" w:eastAsia="黑体"/>
          <w:bCs/>
          <w:color w:val="000000"/>
          <w:sz w:val="28"/>
          <w:szCs w:val="28"/>
        </w:rPr>
        <w:t>：</w:t>
      </w:r>
    </w:p>
    <w:p w14:paraId="3A1B775F">
      <w:pPr>
        <w:spacing w:line="360" w:lineRule="auto"/>
        <w:jc w:val="right"/>
        <w:rPr>
          <w:rFonts w:eastAsia="PMingLiU"/>
          <w:color w:val="000000"/>
          <w:sz w:val="28"/>
          <w:szCs w:val="28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418" w:right="1418" w:bottom="1418" w:left="1418" w:header="851" w:footer="1531" w:gutter="0"/>
          <w:cols w:space="425" w:num="1"/>
          <w:docGrid w:type="lines" w:linePitch="312" w:charSpace="0"/>
        </w:sectPr>
      </w:pPr>
      <w:r>
        <w:rPr>
          <w:rFonts w:eastAsia="仿宋_GB2312"/>
          <w:color w:val="000000"/>
          <w:sz w:val="28"/>
          <w:szCs w:val="28"/>
        </w:rPr>
        <w:t>修订</w:t>
      </w:r>
      <w:r>
        <w:rPr>
          <w:rFonts w:eastAsia="仿宋_GB2312"/>
          <w:color w:val="000000"/>
          <w:sz w:val="28"/>
          <w:szCs w:val="28"/>
          <w:lang w:eastAsia="zh-TW"/>
        </w:rPr>
        <w:t>日期：</w:t>
      </w:r>
      <w:r>
        <w:rPr>
          <w:rFonts w:eastAsia="仿宋_GB2312"/>
          <w:color w:val="000000"/>
          <w:sz w:val="28"/>
          <w:szCs w:val="28"/>
        </w:rPr>
        <w:t>　　</w:t>
      </w:r>
      <w:r>
        <w:rPr>
          <w:rFonts w:eastAsia="仿宋_GB2312"/>
          <w:color w:val="000000"/>
          <w:sz w:val="28"/>
          <w:szCs w:val="28"/>
          <w:lang w:eastAsia="zh-TW"/>
        </w:rPr>
        <w:t>年</w:t>
      </w:r>
      <w:r>
        <w:rPr>
          <w:rFonts w:eastAsia="仿宋_GB2312"/>
          <w:color w:val="000000"/>
          <w:sz w:val="28"/>
          <w:szCs w:val="28"/>
        </w:rPr>
        <w:t xml:space="preserve">    </w:t>
      </w:r>
      <w:r>
        <w:rPr>
          <w:rFonts w:eastAsia="仿宋_GB2312"/>
          <w:color w:val="000000"/>
          <w:sz w:val="28"/>
          <w:szCs w:val="28"/>
          <w:lang w:eastAsia="zh-TW"/>
        </w:rPr>
        <w:t>月</w:t>
      </w:r>
      <w:r>
        <w:rPr>
          <w:rFonts w:eastAsia="仿宋_GB2312"/>
          <w:color w:val="000000"/>
          <w:sz w:val="28"/>
          <w:szCs w:val="28"/>
        </w:rPr>
        <w:t xml:space="preserve">    </w:t>
      </w:r>
      <w:r>
        <w:rPr>
          <w:rFonts w:eastAsia="仿宋_GB2312"/>
          <w:color w:val="000000"/>
          <w:sz w:val="28"/>
          <w:szCs w:val="28"/>
          <w:lang w:eastAsia="zh-TW"/>
        </w:rPr>
        <w:t>日</w:t>
      </w:r>
    </w:p>
    <w:p w14:paraId="3C523F26">
      <w:pPr>
        <w:spacing w:line="360" w:lineRule="auto"/>
        <w:jc w:val="both"/>
        <w:rPr>
          <w:rFonts w:eastAsia="PMingLiU"/>
          <w:color w:val="000000"/>
          <w:sz w:val="28"/>
          <w:szCs w:val="28"/>
        </w:rPr>
      </w:pPr>
    </w:p>
    <w:sectPr>
      <w:pgSz w:w="11906" w:h="16838"/>
      <w:pgMar w:top="1418" w:right="1418" w:bottom="1418" w:left="1418" w:header="851" w:footer="153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7E5EF4">
    <w:pPr>
      <w:pStyle w:val="12"/>
      <w:framePr w:wrap="around"/>
      <w:ind w:firstLine="27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72ECE">
    <w:pPr>
      <w:pStyle w:val="12"/>
      <w:framePr w:wrap="around"/>
      <w:ind w:firstLine="2700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1</w:t>
    </w:r>
    <w:r>
      <w:rPr>
        <w:rStyle w:val="21"/>
      </w:rPr>
      <w:fldChar w:fldCharType="end"/>
    </w:r>
  </w:p>
  <w:p w14:paraId="15DB617E">
    <w:pPr>
      <w:pStyle w:val="12"/>
      <w:framePr w:wrap="around"/>
      <w:ind w:firstLine="27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8D33FF">
    <w:pPr>
      <w:pStyle w:val="12"/>
      <w:framePr w:wrap="around"/>
      <w:ind w:firstLine="270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1D2DA5"/>
    <w:multiLevelType w:val="singleLevel"/>
    <w:tmpl w:val="631D2DA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CBD726C"/>
    <w:multiLevelType w:val="singleLevel"/>
    <w:tmpl w:val="6CBD726C"/>
    <w:lvl w:ilvl="0" w:tentative="0">
      <w:start w:val="1"/>
      <w:numFmt w:val="chineseCounting"/>
      <w:suff w:val="nothing"/>
      <w:lvlText w:val="%1、"/>
      <w:lvlJc w:val="left"/>
      <w:pPr>
        <w:ind w:left="147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ZiZjgzODdlYmY2ZGJkZDc4NTNlN2Q4MTI5NzlhYjMifQ=="/>
  </w:docVars>
  <w:rsids>
    <w:rsidRoot w:val="006B3C32"/>
    <w:rsid w:val="000055D8"/>
    <w:rsid w:val="00006388"/>
    <w:rsid w:val="000128B1"/>
    <w:rsid w:val="0001305D"/>
    <w:rsid w:val="00033102"/>
    <w:rsid w:val="000403E3"/>
    <w:rsid w:val="000457AC"/>
    <w:rsid w:val="00046695"/>
    <w:rsid w:val="00047884"/>
    <w:rsid w:val="0005225B"/>
    <w:rsid w:val="000542B7"/>
    <w:rsid w:val="000603B7"/>
    <w:rsid w:val="000604DB"/>
    <w:rsid w:val="00064D2F"/>
    <w:rsid w:val="000766EB"/>
    <w:rsid w:val="00076CCE"/>
    <w:rsid w:val="00083487"/>
    <w:rsid w:val="00084478"/>
    <w:rsid w:val="0009099F"/>
    <w:rsid w:val="000A28ED"/>
    <w:rsid w:val="000C0DF0"/>
    <w:rsid w:val="000C502F"/>
    <w:rsid w:val="000E521D"/>
    <w:rsid w:val="000E59E6"/>
    <w:rsid w:val="000E7CA7"/>
    <w:rsid w:val="00101D0F"/>
    <w:rsid w:val="00106D08"/>
    <w:rsid w:val="001078F2"/>
    <w:rsid w:val="00110C78"/>
    <w:rsid w:val="00115B7B"/>
    <w:rsid w:val="00131C5E"/>
    <w:rsid w:val="00145102"/>
    <w:rsid w:val="00147EB2"/>
    <w:rsid w:val="001604EC"/>
    <w:rsid w:val="00171ABF"/>
    <w:rsid w:val="00194A79"/>
    <w:rsid w:val="00194AC5"/>
    <w:rsid w:val="00195714"/>
    <w:rsid w:val="00196731"/>
    <w:rsid w:val="00196CCC"/>
    <w:rsid w:val="00197FB1"/>
    <w:rsid w:val="001A5B63"/>
    <w:rsid w:val="001A736C"/>
    <w:rsid w:val="001B269D"/>
    <w:rsid w:val="001B2B37"/>
    <w:rsid w:val="001B4B68"/>
    <w:rsid w:val="001B6752"/>
    <w:rsid w:val="001C0C2C"/>
    <w:rsid w:val="001C3982"/>
    <w:rsid w:val="001C46AB"/>
    <w:rsid w:val="001D7C5C"/>
    <w:rsid w:val="001E3DC2"/>
    <w:rsid w:val="001E423A"/>
    <w:rsid w:val="001E4523"/>
    <w:rsid w:val="001E4F93"/>
    <w:rsid w:val="001E5943"/>
    <w:rsid w:val="001E783A"/>
    <w:rsid w:val="001F35E9"/>
    <w:rsid w:val="001F361A"/>
    <w:rsid w:val="00206A75"/>
    <w:rsid w:val="00232B79"/>
    <w:rsid w:val="00232C9F"/>
    <w:rsid w:val="00235CD3"/>
    <w:rsid w:val="002370CC"/>
    <w:rsid w:val="00245673"/>
    <w:rsid w:val="002459C4"/>
    <w:rsid w:val="00251E0E"/>
    <w:rsid w:val="00261E5C"/>
    <w:rsid w:val="00262ADD"/>
    <w:rsid w:val="002651F1"/>
    <w:rsid w:val="0029640E"/>
    <w:rsid w:val="002A4B1D"/>
    <w:rsid w:val="002B0C73"/>
    <w:rsid w:val="002C3649"/>
    <w:rsid w:val="002C4034"/>
    <w:rsid w:val="002D0A3D"/>
    <w:rsid w:val="002D35CB"/>
    <w:rsid w:val="002D3AFB"/>
    <w:rsid w:val="002D6540"/>
    <w:rsid w:val="002D68BA"/>
    <w:rsid w:val="002E0028"/>
    <w:rsid w:val="002F0AD8"/>
    <w:rsid w:val="002F267E"/>
    <w:rsid w:val="002F50EA"/>
    <w:rsid w:val="003026FB"/>
    <w:rsid w:val="00306733"/>
    <w:rsid w:val="003102D9"/>
    <w:rsid w:val="0032144A"/>
    <w:rsid w:val="003229BE"/>
    <w:rsid w:val="00332329"/>
    <w:rsid w:val="00343CDF"/>
    <w:rsid w:val="003450FD"/>
    <w:rsid w:val="00346F04"/>
    <w:rsid w:val="003635BA"/>
    <w:rsid w:val="00363B39"/>
    <w:rsid w:val="003773FA"/>
    <w:rsid w:val="003775EE"/>
    <w:rsid w:val="0039041D"/>
    <w:rsid w:val="003936DB"/>
    <w:rsid w:val="0039436A"/>
    <w:rsid w:val="0039768A"/>
    <w:rsid w:val="003A76CD"/>
    <w:rsid w:val="003B26C8"/>
    <w:rsid w:val="003C5713"/>
    <w:rsid w:val="003C755C"/>
    <w:rsid w:val="003D0729"/>
    <w:rsid w:val="003D2A0A"/>
    <w:rsid w:val="003D3B6F"/>
    <w:rsid w:val="003D72AF"/>
    <w:rsid w:val="003E3CBD"/>
    <w:rsid w:val="003E55F8"/>
    <w:rsid w:val="003F15CF"/>
    <w:rsid w:val="00407589"/>
    <w:rsid w:val="00412EFD"/>
    <w:rsid w:val="004170EF"/>
    <w:rsid w:val="00422520"/>
    <w:rsid w:val="00426260"/>
    <w:rsid w:val="00427CDB"/>
    <w:rsid w:val="00432C2E"/>
    <w:rsid w:val="00446281"/>
    <w:rsid w:val="00455405"/>
    <w:rsid w:val="00463F5C"/>
    <w:rsid w:val="00470D19"/>
    <w:rsid w:val="00471AED"/>
    <w:rsid w:val="00475192"/>
    <w:rsid w:val="00483DD8"/>
    <w:rsid w:val="00484A8A"/>
    <w:rsid w:val="0048668D"/>
    <w:rsid w:val="004867DC"/>
    <w:rsid w:val="004A0A3C"/>
    <w:rsid w:val="004A6E27"/>
    <w:rsid w:val="004B26DE"/>
    <w:rsid w:val="004C08F1"/>
    <w:rsid w:val="004C39A3"/>
    <w:rsid w:val="004C3B17"/>
    <w:rsid w:val="004E3288"/>
    <w:rsid w:val="004E4778"/>
    <w:rsid w:val="004F4B54"/>
    <w:rsid w:val="00505B79"/>
    <w:rsid w:val="00505F4E"/>
    <w:rsid w:val="00517094"/>
    <w:rsid w:val="00520646"/>
    <w:rsid w:val="0052091E"/>
    <w:rsid w:val="00521814"/>
    <w:rsid w:val="00534E18"/>
    <w:rsid w:val="005406F3"/>
    <w:rsid w:val="00542374"/>
    <w:rsid w:val="00553052"/>
    <w:rsid w:val="0055491C"/>
    <w:rsid w:val="00581140"/>
    <w:rsid w:val="0058192C"/>
    <w:rsid w:val="00582BB3"/>
    <w:rsid w:val="005857EA"/>
    <w:rsid w:val="0058623A"/>
    <w:rsid w:val="005863DE"/>
    <w:rsid w:val="00586404"/>
    <w:rsid w:val="00594E8D"/>
    <w:rsid w:val="005975FA"/>
    <w:rsid w:val="005A0D48"/>
    <w:rsid w:val="005A455E"/>
    <w:rsid w:val="005D37F7"/>
    <w:rsid w:val="005D3D17"/>
    <w:rsid w:val="005D6676"/>
    <w:rsid w:val="005D677B"/>
    <w:rsid w:val="005D705F"/>
    <w:rsid w:val="005F2A93"/>
    <w:rsid w:val="005F5874"/>
    <w:rsid w:val="006003DB"/>
    <w:rsid w:val="00605B25"/>
    <w:rsid w:val="006064F8"/>
    <w:rsid w:val="00607384"/>
    <w:rsid w:val="00607F7F"/>
    <w:rsid w:val="00610510"/>
    <w:rsid w:val="006165E6"/>
    <w:rsid w:val="006204BC"/>
    <w:rsid w:val="00622182"/>
    <w:rsid w:val="0062279C"/>
    <w:rsid w:val="00631444"/>
    <w:rsid w:val="00637F19"/>
    <w:rsid w:val="006428C0"/>
    <w:rsid w:val="00654FBA"/>
    <w:rsid w:val="00655B3B"/>
    <w:rsid w:val="006608FE"/>
    <w:rsid w:val="00662408"/>
    <w:rsid w:val="00671C61"/>
    <w:rsid w:val="006800C6"/>
    <w:rsid w:val="00683357"/>
    <w:rsid w:val="00683B11"/>
    <w:rsid w:val="006968DB"/>
    <w:rsid w:val="00696F0E"/>
    <w:rsid w:val="006A2440"/>
    <w:rsid w:val="006A44BE"/>
    <w:rsid w:val="006A5A01"/>
    <w:rsid w:val="006A5FE4"/>
    <w:rsid w:val="006A7602"/>
    <w:rsid w:val="006B0F68"/>
    <w:rsid w:val="006B3C32"/>
    <w:rsid w:val="006C1648"/>
    <w:rsid w:val="006D25CF"/>
    <w:rsid w:val="006D5EFB"/>
    <w:rsid w:val="006E5F51"/>
    <w:rsid w:val="006E6388"/>
    <w:rsid w:val="006F0026"/>
    <w:rsid w:val="00700992"/>
    <w:rsid w:val="007018E2"/>
    <w:rsid w:val="00702F57"/>
    <w:rsid w:val="00703CD4"/>
    <w:rsid w:val="00715346"/>
    <w:rsid w:val="0071558A"/>
    <w:rsid w:val="00732AC5"/>
    <w:rsid w:val="00741083"/>
    <w:rsid w:val="007428DF"/>
    <w:rsid w:val="00743D63"/>
    <w:rsid w:val="00752536"/>
    <w:rsid w:val="00752F93"/>
    <w:rsid w:val="0076548F"/>
    <w:rsid w:val="0076727E"/>
    <w:rsid w:val="00774080"/>
    <w:rsid w:val="0078189D"/>
    <w:rsid w:val="00782126"/>
    <w:rsid w:val="00782B3D"/>
    <w:rsid w:val="0078325F"/>
    <w:rsid w:val="00784B77"/>
    <w:rsid w:val="00793C19"/>
    <w:rsid w:val="007A253C"/>
    <w:rsid w:val="007A7985"/>
    <w:rsid w:val="007B350C"/>
    <w:rsid w:val="007B52E2"/>
    <w:rsid w:val="007C20B2"/>
    <w:rsid w:val="007C5C5C"/>
    <w:rsid w:val="007C7806"/>
    <w:rsid w:val="007D4D78"/>
    <w:rsid w:val="007E4DA7"/>
    <w:rsid w:val="007E4DE9"/>
    <w:rsid w:val="007F1039"/>
    <w:rsid w:val="007F1656"/>
    <w:rsid w:val="007F6557"/>
    <w:rsid w:val="007F6597"/>
    <w:rsid w:val="00800A63"/>
    <w:rsid w:val="008026F5"/>
    <w:rsid w:val="00807968"/>
    <w:rsid w:val="00811B36"/>
    <w:rsid w:val="00813B48"/>
    <w:rsid w:val="008307C5"/>
    <w:rsid w:val="008321A9"/>
    <w:rsid w:val="00836DDD"/>
    <w:rsid w:val="008432EB"/>
    <w:rsid w:val="00846C21"/>
    <w:rsid w:val="00853845"/>
    <w:rsid w:val="00857D9F"/>
    <w:rsid w:val="008614F5"/>
    <w:rsid w:val="00863D75"/>
    <w:rsid w:val="0086684F"/>
    <w:rsid w:val="008676B8"/>
    <w:rsid w:val="008751D1"/>
    <w:rsid w:val="00877818"/>
    <w:rsid w:val="008878B5"/>
    <w:rsid w:val="00892CB8"/>
    <w:rsid w:val="00893B71"/>
    <w:rsid w:val="008A6F6E"/>
    <w:rsid w:val="008C1BF7"/>
    <w:rsid w:val="008D28CF"/>
    <w:rsid w:val="008D332D"/>
    <w:rsid w:val="008D5041"/>
    <w:rsid w:val="008D5C85"/>
    <w:rsid w:val="008D5E11"/>
    <w:rsid w:val="008D6BA9"/>
    <w:rsid w:val="008E3E5E"/>
    <w:rsid w:val="008E6D19"/>
    <w:rsid w:val="008F1952"/>
    <w:rsid w:val="008F4BC3"/>
    <w:rsid w:val="008F70A6"/>
    <w:rsid w:val="00904D53"/>
    <w:rsid w:val="00912D49"/>
    <w:rsid w:val="00940EEC"/>
    <w:rsid w:val="00940FA5"/>
    <w:rsid w:val="00960107"/>
    <w:rsid w:val="00961D43"/>
    <w:rsid w:val="00980FCB"/>
    <w:rsid w:val="0099207B"/>
    <w:rsid w:val="00993355"/>
    <w:rsid w:val="00996C22"/>
    <w:rsid w:val="009A1705"/>
    <w:rsid w:val="009A2BF6"/>
    <w:rsid w:val="009B09CF"/>
    <w:rsid w:val="009B0FAA"/>
    <w:rsid w:val="009B5F57"/>
    <w:rsid w:val="009B7D62"/>
    <w:rsid w:val="009C6D96"/>
    <w:rsid w:val="009E0949"/>
    <w:rsid w:val="009E0D4F"/>
    <w:rsid w:val="009E2715"/>
    <w:rsid w:val="009E7FAE"/>
    <w:rsid w:val="009F47DE"/>
    <w:rsid w:val="00A04579"/>
    <w:rsid w:val="00A1192E"/>
    <w:rsid w:val="00A17EA8"/>
    <w:rsid w:val="00A256BF"/>
    <w:rsid w:val="00A3064D"/>
    <w:rsid w:val="00A319DE"/>
    <w:rsid w:val="00A41194"/>
    <w:rsid w:val="00A525F2"/>
    <w:rsid w:val="00A55F25"/>
    <w:rsid w:val="00A76E4B"/>
    <w:rsid w:val="00A84744"/>
    <w:rsid w:val="00A92F8A"/>
    <w:rsid w:val="00A9481B"/>
    <w:rsid w:val="00AA16BA"/>
    <w:rsid w:val="00AB155B"/>
    <w:rsid w:val="00AB2D8B"/>
    <w:rsid w:val="00AD52C2"/>
    <w:rsid w:val="00AD6251"/>
    <w:rsid w:val="00AE12D6"/>
    <w:rsid w:val="00AE41D8"/>
    <w:rsid w:val="00AE5B6F"/>
    <w:rsid w:val="00AF1A00"/>
    <w:rsid w:val="00AF6A36"/>
    <w:rsid w:val="00B20DCE"/>
    <w:rsid w:val="00B23375"/>
    <w:rsid w:val="00B37383"/>
    <w:rsid w:val="00B644CC"/>
    <w:rsid w:val="00B657C7"/>
    <w:rsid w:val="00B827E1"/>
    <w:rsid w:val="00B82DB9"/>
    <w:rsid w:val="00B85213"/>
    <w:rsid w:val="00BB0416"/>
    <w:rsid w:val="00BB3331"/>
    <w:rsid w:val="00BB3A6D"/>
    <w:rsid w:val="00BB3EAA"/>
    <w:rsid w:val="00BB5001"/>
    <w:rsid w:val="00BC1632"/>
    <w:rsid w:val="00BC7ED6"/>
    <w:rsid w:val="00BD1F4B"/>
    <w:rsid w:val="00BE3759"/>
    <w:rsid w:val="00BE4C36"/>
    <w:rsid w:val="00BE5C9E"/>
    <w:rsid w:val="00BE7B39"/>
    <w:rsid w:val="00BE7E45"/>
    <w:rsid w:val="00BF33AF"/>
    <w:rsid w:val="00BF5DFC"/>
    <w:rsid w:val="00BF70E0"/>
    <w:rsid w:val="00C01FB2"/>
    <w:rsid w:val="00C02B5B"/>
    <w:rsid w:val="00C0566E"/>
    <w:rsid w:val="00C072D8"/>
    <w:rsid w:val="00C10B37"/>
    <w:rsid w:val="00C153B0"/>
    <w:rsid w:val="00C249DA"/>
    <w:rsid w:val="00C264A3"/>
    <w:rsid w:val="00C33F48"/>
    <w:rsid w:val="00C34AD3"/>
    <w:rsid w:val="00C362BF"/>
    <w:rsid w:val="00C363F0"/>
    <w:rsid w:val="00C416FF"/>
    <w:rsid w:val="00C4179F"/>
    <w:rsid w:val="00C43D5A"/>
    <w:rsid w:val="00C43DCD"/>
    <w:rsid w:val="00C61D4B"/>
    <w:rsid w:val="00C64D41"/>
    <w:rsid w:val="00C65F75"/>
    <w:rsid w:val="00C67190"/>
    <w:rsid w:val="00C67BD8"/>
    <w:rsid w:val="00C858F9"/>
    <w:rsid w:val="00C85A01"/>
    <w:rsid w:val="00C870BD"/>
    <w:rsid w:val="00C91399"/>
    <w:rsid w:val="00C9218C"/>
    <w:rsid w:val="00C94518"/>
    <w:rsid w:val="00C96103"/>
    <w:rsid w:val="00C97625"/>
    <w:rsid w:val="00CC1603"/>
    <w:rsid w:val="00CC19C4"/>
    <w:rsid w:val="00CC678D"/>
    <w:rsid w:val="00CD773E"/>
    <w:rsid w:val="00CE09D2"/>
    <w:rsid w:val="00CE3099"/>
    <w:rsid w:val="00CE3AA7"/>
    <w:rsid w:val="00CE569E"/>
    <w:rsid w:val="00CF055D"/>
    <w:rsid w:val="00CF45D1"/>
    <w:rsid w:val="00CF5581"/>
    <w:rsid w:val="00D06415"/>
    <w:rsid w:val="00D13BE0"/>
    <w:rsid w:val="00D172D3"/>
    <w:rsid w:val="00D23131"/>
    <w:rsid w:val="00D2387D"/>
    <w:rsid w:val="00D31C15"/>
    <w:rsid w:val="00D324CB"/>
    <w:rsid w:val="00D34A93"/>
    <w:rsid w:val="00D36075"/>
    <w:rsid w:val="00D40048"/>
    <w:rsid w:val="00D43432"/>
    <w:rsid w:val="00D44BAC"/>
    <w:rsid w:val="00D623C4"/>
    <w:rsid w:val="00D65A51"/>
    <w:rsid w:val="00D7239E"/>
    <w:rsid w:val="00D72FED"/>
    <w:rsid w:val="00D74442"/>
    <w:rsid w:val="00D74AAF"/>
    <w:rsid w:val="00D811D3"/>
    <w:rsid w:val="00D9115A"/>
    <w:rsid w:val="00D96032"/>
    <w:rsid w:val="00DA429F"/>
    <w:rsid w:val="00DA4B3E"/>
    <w:rsid w:val="00DA56F7"/>
    <w:rsid w:val="00DA70BD"/>
    <w:rsid w:val="00DB0245"/>
    <w:rsid w:val="00DB0A46"/>
    <w:rsid w:val="00DB4164"/>
    <w:rsid w:val="00DB6FAA"/>
    <w:rsid w:val="00DB7EEC"/>
    <w:rsid w:val="00DC4F01"/>
    <w:rsid w:val="00DE2824"/>
    <w:rsid w:val="00DF06FD"/>
    <w:rsid w:val="00DF5556"/>
    <w:rsid w:val="00DF592A"/>
    <w:rsid w:val="00DF63CE"/>
    <w:rsid w:val="00DF68E5"/>
    <w:rsid w:val="00E00312"/>
    <w:rsid w:val="00E0262C"/>
    <w:rsid w:val="00E03EA2"/>
    <w:rsid w:val="00E044E1"/>
    <w:rsid w:val="00E04D5A"/>
    <w:rsid w:val="00E05000"/>
    <w:rsid w:val="00E17765"/>
    <w:rsid w:val="00E21724"/>
    <w:rsid w:val="00E3502F"/>
    <w:rsid w:val="00E41452"/>
    <w:rsid w:val="00E41A7F"/>
    <w:rsid w:val="00E43F4B"/>
    <w:rsid w:val="00E55BA6"/>
    <w:rsid w:val="00E57BE4"/>
    <w:rsid w:val="00E60C92"/>
    <w:rsid w:val="00E65540"/>
    <w:rsid w:val="00E65BDE"/>
    <w:rsid w:val="00E701D1"/>
    <w:rsid w:val="00E708ED"/>
    <w:rsid w:val="00E71C21"/>
    <w:rsid w:val="00E71F76"/>
    <w:rsid w:val="00E745CE"/>
    <w:rsid w:val="00E77051"/>
    <w:rsid w:val="00E8015C"/>
    <w:rsid w:val="00EA65F5"/>
    <w:rsid w:val="00EA6C33"/>
    <w:rsid w:val="00EC4E10"/>
    <w:rsid w:val="00EC6190"/>
    <w:rsid w:val="00EC7BEF"/>
    <w:rsid w:val="00EE1A28"/>
    <w:rsid w:val="00EE391E"/>
    <w:rsid w:val="00EF1858"/>
    <w:rsid w:val="00F00412"/>
    <w:rsid w:val="00F02CC1"/>
    <w:rsid w:val="00F07B63"/>
    <w:rsid w:val="00F1099B"/>
    <w:rsid w:val="00F13FC5"/>
    <w:rsid w:val="00F14FA8"/>
    <w:rsid w:val="00F17766"/>
    <w:rsid w:val="00F25F6A"/>
    <w:rsid w:val="00F302AF"/>
    <w:rsid w:val="00F31CD6"/>
    <w:rsid w:val="00F50B8B"/>
    <w:rsid w:val="00F525E5"/>
    <w:rsid w:val="00F57876"/>
    <w:rsid w:val="00F60D4A"/>
    <w:rsid w:val="00F66D16"/>
    <w:rsid w:val="00F741BC"/>
    <w:rsid w:val="00F74B50"/>
    <w:rsid w:val="00F75F85"/>
    <w:rsid w:val="00F76354"/>
    <w:rsid w:val="00F82019"/>
    <w:rsid w:val="00F8369C"/>
    <w:rsid w:val="00F95111"/>
    <w:rsid w:val="00FA111D"/>
    <w:rsid w:val="00FA5087"/>
    <w:rsid w:val="00FA5ADF"/>
    <w:rsid w:val="00FB5151"/>
    <w:rsid w:val="00FB570F"/>
    <w:rsid w:val="00FB6ECA"/>
    <w:rsid w:val="00FB7522"/>
    <w:rsid w:val="00FC0EE0"/>
    <w:rsid w:val="00FC6E49"/>
    <w:rsid w:val="00FD58D9"/>
    <w:rsid w:val="00FE656F"/>
    <w:rsid w:val="00FF210E"/>
    <w:rsid w:val="00FF2675"/>
    <w:rsid w:val="00FF4530"/>
    <w:rsid w:val="0469532E"/>
    <w:rsid w:val="0696055B"/>
    <w:rsid w:val="0ABF6E54"/>
    <w:rsid w:val="15881922"/>
    <w:rsid w:val="201E1B0B"/>
    <w:rsid w:val="244E0BDF"/>
    <w:rsid w:val="28F337C0"/>
    <w:rsid w:val="29FE4D92"/>
    <w:rsid w:val="377E7D50"/>
    <w:rsid w:val="37B94D0E"/>
    <w:rsid w:val="46341002"/>
    <w:rsid w:val="499D6929"/>
    <w:rsid w:val="4E2400F1"/>
    <w:rsid w:val="57666DD7"/>
    <w:rsid w:val="58BB05B4"/>
    <w:rsid w:val="63473C40"/>
    <w:rsid w:val="64414A95"/>
    <w:rsid w:val="73AC33F5"/>
    <w:rsid w:val="743C692B"/>
    <w:rsid w:val="76102E48"/>
    <w:rsid w:val="7745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4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autoRedefine/>
    <w:unhideWhenUsed/>
    <w:qFormat/>
    <w:uiPriority w:val="9"/>
    <w:pPr>
      <w:keepNext/>
      <w:keepLines/>
      <w:spacing w:before="260" w:after="260" w:line="416" w:lineRule="auto"/>
      <w:jc w:val="center"/>
      <w:outlineLvl w:val="1"/>
    </w:pPr>
    <w:rPr>
      <w:rFonts w:ascii="Cambria" w:hAnsi="Cambria"/>
      <w:b/>
      <w:bCs/>
      <w:sz w:val="36"/>
      <w:szCs w:val="32"/>
    </w:rPr>
  </w:style>
  <w:style w:type="paragraph" w:styleId="4">
    <w:name w:val="heading 3"/>
    <w:basedOn w:val="1"/>
    <w:next w:val="1"/>
    <w:link w:val="26"/>
    <w:autoRedefine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32"/>
    <w:autoRedefine/>
    <w:semiHidden/>
    <w:qFormat/>
    <w:uiPriority w:val="99"/>
    <w:pPr>
      <w:shd w:val="clear" w:color="auto" w:fill="000080"/>
    </w:pPr>
  </w:style>
  <w:style w:type="paragraph" w:styleId="6">
    <w:name w:val="annotation text"/>
    <w:basedOn w:val="1"/>
    <w:link w:val="44"/>
    <w:autoRedefine/>
    <w:unhideWhenUsed/>
    <w:qFormat/>
    <w:uiPriority w:val="99"/>
    <w:pPr>
      <w:jc w:val="left"/>
    </w:pPr>
    <w:rPr>
      <w:rFonts w:ascii="Calibri" w:hAnsi="Calibri"/>
      <w:szCs w:val="22"/>
    </w:rPr>
  </w:style>
  <w:style w:type="paragraph" w:styleId="7">
    <w:name w:val="Body Text Indent"/>
    <w:basedOn w:val="1"/>
    <w:link w:val="31"/>
    <w:qFormat/>
    <w:uiPriority w:val="0"/>
    <w:pPr>
      <w:spacing w:after="120"/>
      <w:ind w:left="420" w:leftChars="200"/>
    </w:pPr>
    <w:rPr>
      <w:lang w:val="zh-CN"/>
    </w:rPr>
  </w:style>
  <w:style w:type="paragraph" w:styleId="8">
    <w:name w:val="Plain Text"/>
    <w:basedOn w:val="1"/>
    <w:link w:val="36"/>
    <w:unhideWhenUsed/>
    <w:qFormat/>
    <w:uiPriority w:val="0"/>
    <w:rPr>
      <w:rFonts w:ascii="宋体" w:hAnsi="Courier New" w:cs="Courier New"/>
      <w:szCs w:val="21"/>
    </w:rPr>
  </w:style>
  <w:style w:type="paragraph" w:styleId="9">
    <w:name w:val="Date"/>
    <w:basedOn w:val="1"/>
    <w:next w:val="1"/>
    <w:link w:val="28"/>
    <w:autoRedefine/>
    <w:qFormat/>
    <w:uiPriority w:val="99"/>
    <w:rPr>
      <w:rFonts w:ascii="宋体"/>
      <w:sz w:val="24"/>
    </w:rPr>
  </w:style>
  <w:style w:type="paragraph" w:styleId="10">
    <w:name w:val="Body Text Indent 2"/>
    <w:basedOn w:val="1"/>
    <w:link w:val="38"/>
    <w:autoRedefine/>
    <w:qFormat/>
    <w:uiPriority w:val="0"/>
    <w:pPr>
      <w:spacing w:after="120" w:line="480" w:lineRule="auto"/>
      <w:ind w:left="420" w:leftChars="200"/>
    </w:pPr>
    <w:rPr>
      <w:rFonts w:asciiTheme="minorHAnsi" w:hAnsiTheme="minorHAnsi" w:eastAsiaTheme="minorEastAsia" w:cstheme="minorBidi"/>
      <w:szCs w:val="22"/>
    </w:rPr>
  </w:style>
  <w:style w:type="paragraph" w:styleId="11">
    <w:name w:val="Balloon Text"/>
    <w:basedOn w:val="1"/>
    <w:link w:val="35"/>
    <w:autoRedefine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29"/>
    <w:autoRedefine/>
    <w:qFormat/>
    <w:uiPriority w:val="99"/>
    <w:pPr>
      <w:framePr w:wrap="around" w:vAnchor="text" w:hAnchor="margin" w:xAlign="right" w:y="1"/>
      <w:tabs>
        <w:tab w:val="center" w:pos="4153"/>
        <w:tab w:val="right" w:pos="8306"/>
      </w:tabs>
      <w:snapToGrid w:val="0"/>
      <w:ind w:firstLine="4200" w:firstLineChars="1500"/>
    </w:pPr>
    <w:rPr>
      <w:sz w:val="18"/>
    </w:rPr>
  </w:style>
  <w:style w:type="paragraph" w:styleId="13">
    <w:name w:val="header"/>
    <w:basedOn w:val="1"/>
    <w:link w:val="34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autoRedefine/>
    <w:unhideWhenUsed/>
    <w:qFormat/>
    <w:uiPriority w:val="39"/>
    <w:pPr>
      <w:spacing w:line="360" w:lineRule="auto"/>
    </w:pPr>
    <w:rPr>
      <w:rFonts w:ascii="Calibri" w:hAnsi="Calibri"/>
      <w:sz w:val="24"/>
      <w:szCs w:val="22"/>
    </w:rPr>
  </w:style>
  <w:style w:type="paragraph" w:styleId="15">
    <w:name w:val="Body Text Indent 3"/>
    <w:basedOn w:val="1"/>
    <w:link w:val="40"/>
    <w:autoRedefine/>
    <w:qFormat/>
    <w:uiPriority w:val="0"/>
    <w:pPr>
      <w:spacing w:after="120"/>
      <w:ind w:left="420" w:leftChars="200"/>
    </w:pPr>
    <w:rPr>
      <w:rFonts w:asciiTheme="minorHAnsi" w:hAnsiTheme="minorHAnsi" w:eastAsiaTheme="minorEastAsia" w:cstheme="minorBidi"/>
      <w:sz w:val="16"/>
      <w:szCs w:val="16"/>
    </w:rPr>
  </w:style>
  <w:style w:type="paragraph" w:styleId="16">
    <w:name w:val="toc 2"/>
    <w:basedOn w:val="1"/>
    <w:next w:val="1"/>
    <w:autoRedefine/>
    <w:unhideWhenUsed/>
    <w:qFormat/>
    <w:uiPriority w:val="39"/>
    <w:pPr>
      <w:spacing w:line="360" w:lineRule="auto"/>
      <w:ind w:left="420" w:leftChars="200"/>
    </w:pPr>
    <w:rPr>
      <w:rFonts w:ascii="Calibri" w:hAnsi="Calibri"/>
      <w:sz w:val="24"/>
      <w:szCs w:val="22"/>
    </w:rPr>
  </w:style>
  <w:style w:type="paragraph" w:styleId="17">
    <w:name w:val="annotation subject"/>
    <w:basedOn w:val="6"/>
    <w:next w:val="6"/>
    <w:link w:val="45"/>
    <w:autoRedefine/>
    <w:unhideWhenUsed/>
    <w:qFormat/>
    <w:uiPriority w:val="99"/>
    <w:rPr>
      <w:b/>
      <w:bCs/>
    </w:rPr>
  </w:style>
  <w:style w:type="table" w:styleId="19">
    <w:name w:val="Table Grid"/>
    <w:basedOn w:val="18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autoRedefine/>
    <w:qFormat/>
    <w:uiPriority w:val="0"/>
  </w:style>
  <w:style w:type="character" w:styleId="22">
    <w:name w:val="Hyperlink"/>
    <w:basedOn w:val="20"/>
    <w:autoRedefine/>
    <w:unhideWhenUsed/>
    <w:qFormat/>
    <w:uiPriority w:val="99"/>
    <w:rPr>
      <w:color w:val="0000FF"/>
      <w:u w:val="single"/>
    </w:rPr>
  </w:style>
  <w:style w:type="character" w:styleId="23">
    <w:name w:val="annotation reference"/>
    <w:basedOn w:val="20"/>
    <w:autoRedefine/>
    <w:unhideWhenUsed/>
    <w:qFormat/>
    <w:uiPriority w:val="99"/>
    <w:rPr>
      <w:sz w:val="21"/>
      <w:szCs w:val="21"/>
    </w:rPr>
  </w:style>
  <w:style w:type="character" w:customStyle="1" w:styleId="24">
    <w:name w:val="标题 1 字符"/>
    <w:basedOn w:val="20"/>
    <w:link w:val="2"/>
    <w:autoRedefine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5">
    <w:name w:val="标题 2 字符"/>
    <w:basedOn w:val="20"/>
    <w:link w:val="3"/>
    <w:autoRedefine/>
    <w:qFormat/>
    <w:uiPriority w:val="9"/>
    <w:rPr>
      <w:rFonts w:ascii="Cambria" w:hAnsi="Cambria" w:eastAsia="宋体" w:cs="Times New Roman"/>
      <w:b/>
      <w:bCs/>
      <w:sz w:val="36"/>
      <w:szCs w:val="32"/>
    </w:rPr>
  </w:style>
  <w:style w:type="character" w:customStyle="1" w:styleId="26">
    <w:name w:val="标题 3 字符"/>
    <w:basedOn w:val="20"/>
    <w:link w:val="4"/>
    <w:autoRedefine/>
    <w:qFormat/>
    <w:uiPriority w:val="9"/>
    <w:rPr>
      <w:rFonts w:ascii="Calibri" w:hAnsi="Calibri" w:eastAsia="宋体" w:cs="Times New Roman"/>
      <w:b/>
      <w:bCs/>
      <w:sz w:val="32"/>
      <w:szCs w:val="32"/>
    </w:rPr>
  </w:style>
  <w:style w:type="paragraph" w:customStyle="1" w:styleId="27">
    <w:name w:val="样式 标题一 副标题 + 居中"/>
    <w:basedOn w:val="1"/>
    <w:autoRedefine/>
    <w:qFormat/>
    <w:uiPriority w:val="0"/>
    <w:pPr>
      <w:tabs>
        <w:tab w:val="left" w:pos="720"/>
        <w:tab w:val="left" w:pos="7740"/>
      </w:tabs>
      <w:spacing w:after="240" w:line="240" w:lineRule="atLeast"/>
      <w:ind w:left="357" w:firstLine="150" w:firstLineChars="150"/>
      <w:jc w:val="left"/>
    </w:pPr>
    <w:rPr>
      <w:rFonts w:ascii="宋体" w:eastAsia="黑体"/>
      <w:kern w:val="0"/>
      <w:sz w:val="44"/>
    </w:rPr>
  </w:style>
  <w:style w:type="character" w:customStyle="1" w:styleId="28">
    <w:name w:val="日期 字符"/>
    <w:basedOn w:val="20"/>
    <w:link w:val="9"/>
    <w:autoRedefine/>
    <w:qFormat/>
    <w:uiPriority w:val="99"/>
    <w:rPr>
      <w:rFonts w:ascii="宋体" w:hAnsi="Times New Roman" w:eastAsia="宋体" w:cs="Times New Roman"/>
      <w:sz w:val="24"/>
      <w:szCs w:val="20"/>
    </w:rPr>
  </w:style>
  <w:style w:type="character" w:customStyle="1" w:styleId="29">
    <w:name w:val="页脚 字符"/>
    <w:basedOn w:val="20"/>
    <w:link w:val="12"/>
    <w:autoRedefine/>
    <w:qFormat/>
    <w:uiPriority w:val="99"/>
    <w:rPr>
      <w:rFonts w:ascii="Times New Roman" w:hAnsi="Times New Roman" w:eastAsia="宋体" w:cs="Times New Roman"/>
      <w:kern w:val="2"/>
      <w:sz w:val="18"/>
    </w:rPr>
  </w:style>
  <w:style w:type="paragraph" w:customStyle="1" w:styleId="30">
    <w:name w:val="1"/>
    <w:basedOn w:val="1"/>
    <w:next w:val="7"/>
    <w:autoRedefine/>
    <w:qFormat/>
    <w:uiPriority w:val="0"/>
    <w:pPr>
      <w:snapToGrid w:val="0"/>
      <w:spacing w:line="560" w:lineRule="atLeast"/>
      <w:ind w:firstLine="630"/>
    </w:pPr>
    <w:rPr>
      <w:sz w:val="31"/>
    </w:rPr>
  </w:style>
  <w:style w:type="character" w:customStyle="1" w:styleId="31">
    <w:name w:val="正文文本缩进 字符"/>
    <w:basedOn w:val="20"/>
    <w:link w:val="7"/>
    <w:autoRedefine/>
    <w:qFormat/>
    <w:uiPriority w:val="0"/>
    <w:rPr>
      <w:rFonts w:ascii="Times New Roman" w:hAnsi="Times New Roman" w:eastAsia="宋体" w:cs="Times New Roman"/>
      <w:szCs w:val="20"/>
      <w:lang w:val="zh-CN" w:eastAsia="zh-CN"/>
    </w:rPr>
  </w:style>
  <w:style w:type="character" w:customStyle="1" w:styleId="32">
    <w:name w:val="文档结构图 字符"/>
    <w:basedOn w:val="20"/>
    <w:link w:val="5"/>
    <w:autoRedefine/>
    <w:semiHidden/>
    <w:qFormat/>
    <w:uiPriority w:val="99"/>
    <w:rPr>
      <w:rFonts w:ascii="Times New Roman" w:hAnsi="Times New Roman" w:eastAsia="宋体" w:cs="Times New Roman"/>
      <w:szCs w:val="20"/>
      <w:shd w:val="clear" w:color="auto" w:fill="000080"/>
    </w:rPr>
  </w:style>
  <w:style w:type="character" w:customStyle="1" w:styleId="33">
    <w:name w:val="Char"/>
    <w:autoRedefine/>
    <w:qFormat/>
    <w:uiPriority w:val="0"/>
    <w:rPr>
      <w:rFonts w:eastAsia="宋体"/>
      <w:kern w:val="2"/>
      <w:sz w:val="31"/>
      <w:lang w:val="en-US" w:eastAsia="zh-CN" w:bidi="ar-SA"/>
    </w:rPr>
  </w:style>
  <w:style w:type="character" w:customStyle="1" w:styleId="34">
    <w:name w:val="页眉 字符"/>
    <w:basedOn w:val="20"/>
    <w:link w:val="1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批注框文本 字符"/>
    <w:basedOn w:val="20"/>
    <w:link w:val="11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6">
    <w:name w:val="纯文本 字符"/>
    <w:basedOn w:val="20"/>
    <w:link w:val="8"/>
    <w:autoRedefine/>
    <w:qFormat/>
    <w:uiPriority w:val="0"/>
    <w:rPr>
      <w:rFonts w:ascii="宋体" w:hAnsi="Courier New" w:eastAsia="宋体" w:cs="Courier New"/>
      <w:szCs w:val="21"/>
    </w:rPr>
  </w:style>
  <w:style w:type="paragraph" w:styleId="37">
    <w:name w:val="List Paragraph"/>
    <w:basedOn w:val="1"/>
    <w:autoRedefine/>
    <w:qFormat/>
    <w:uiPriority w:val="34"/>
    <w:pPr>
      <w:spacing w:line="360" w:lineRule="auto"/>
      <w:ind w:firstLine="420" w:firstLineChars="200"/>
    </w:pPr>
    <w:rPr>
      <w:rFonts w:ascii="Calibri" w:hAnsi="Calibri"/>
      <w:sz w:val="24"/>
      <w:szCs w:val="22"/>
    </w:rPr>
  </w:style>
  <w:style w:type="character" w:customStyle="1" w:styleId="38">
    <w:name w:val="正文文本缩进 2 字符"/>
    <w:link w:val="10"/>
    <w:autoRedefine/>
    <w:qFormat/>
    <w:uiPriority w:val="0"/>
  </w:style>
  <w:style w:type="character" w:customStyle="1" w:styleId="39">
    <w:name w:val="正文文本缩进 2 Char1"/>
    <w:basedOn w:val="20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40">
    <w:name w:val="正文文本缩进 3 字符"/>
    <w:link w:val="15"/>
    <w:autoRedefine/>
    <w:qFormat/>
    <w:locked/>
    <w:uiPriority w:val="0"/>
    <w:rPr>
      <w:sz w:val="16"/>
      <w:szCs w:val="16"/>
    </w:rPr>
  </w:style>
  <w:style w:type="character" w:customStyle="1" w:styleId="41">
    <w:name w:val="正文文本缩进 3 Char1"/>
    <w:basedOn w:val="20"/>
    <w:autoRedefine/>
    <w:qFormat/>
    <w:uiPriority w:val="99"/>
    <w:rPr>
      <w:rFonts w:ascii="Times New Roman" w:hAnsi="Times New Roman" w:eastAsia="宋体" w:cs="Times New Roman"/>
      <w:sz w:val="16"/>
      <w:szCs w:val="16"/>
    </w:rPr>
  </w:style>
  <w:style w:type="paragraph" w:customStyle="1" w:styleId="42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43">
    <w:name w:val="TOC 标题1"/>
    <w:basedOn w:val="2"/>
    <w:next w:val="1"/>
    <w:autoRedefine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44">
    <w:name w:val="批注文字 字符"/>
    <w:basedOn w:val="20"/>
    <w:link w:val="6"/>
    <w:autoRedefine/>
    <w:qFormat/>
    <w:uiPriority w:val="99"/>
    <w:rPr>
      <w:rFonts w:ascii="Calibri" w:hAnsi="Calibri" w:eastAsia="宋体" w:cs="Times New Roman"/>
    </w:rPr>
  </w:style>
  <w:style w:type="character" w:customStyle="1" w:styleId="45">
    <w:name w:val="批注主题 字符"/>
    <w:basedOn w:val="44"/>
    <w:link w:val="17"/>
    <w:autoRedefine/>
    <w:qFormat/>
    <w:uiPriority w:val="99"/>
    <w:rPr>
      <w:rFonts w:ascii="Calibri" w:hAnsi="Calibri" w:eastAsia="宋体" w:cs="Times New Roman"/>
      <w:b/>
      <w:bCs/>
    </w:rPr>
  </w:style>
  <w:style w:type="paragraph" w:customStyle="1" w:styleId="46">
    <w:name w:val="修订1"/>
    <w:autoRedefine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48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24691-8E68-43BA-823C-225660AAF8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8</Pages>
  <Words>2375</Words>
  <Characters>3411</Characters>
  <Lines>140</Lines>
  <Paragraphs>39</Paragraphs>
  <TotalTime>1</TotalTime>
  <ScaleCrop>false</ScaleCrop>
  <LinksUpToDate>false</LinksUpToDate>
  <CharactersWithSpaces>3526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2024-06-12T10:37:00Z</dcterms:created>
  <dc:creator>lenovo</dc:creator>
  <cp:lastModifiedBy>侯艳冰</cp:lastModifiedBy>
  <cp:lastPrinted>2023-10-30T09:45:00Z</cp:lastPrinted>
  <dcterms:modified xsi:type="dcterms:W3CDTF">2025-08-24T14:17:24Z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01AC9F1438F341E88646128FACBB3557_13</vt:lpwstr>
  </property>
  <property fmtid="{D5CDD505-2E9C-101B-9397-08002B2CF9AE}" pid="3" name="KSOProductBuildVer">
    <vt:lpwstr>2052-12.1.0.22529</vt:lpwstr>
  </property>
  <property fmtid="{D5CDD505-2E9C-101B-9397-08002B2CF9AE}" pid="4" name="KSOTemplateDocerSaveRecord">
    <vt:lpwstr>eyJoZGlkIjoiNDZiZjgzODdlYmY2ZGJkZDc4NTNlN2Q4MTI5NzlhYjMiLCJ1c2VySWQiOiI2MjA1NzY1MDgifQ==</vt:lpwstr>
  </property>
</Properties>
</file>