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F7586">
      <w:pPr>
        <w:snapToGrid w:val="0"/>
        <w:spacing w:line="360" w:lineRule="auto"/>
        <w:rPr>
          <w:rFonts w:eastAsia="黑体"/>
          <w:bCs/>
          <w:color w:val="auto"/>
          <w:sz w:val="28"/>
          <w:szCs w:val="28"/>
          <w:highlight w:val="none"/>
        </w:rPr>
      </w:pPr>
    </w:p>
    <w:p w14:paraId="7E762C3F">
      <w:pPr>
        <w:spacing w:line="360" w:lineRule="auto"/>
        <w:jc w:val="center"/>
        <w:rPr>
          <w:rFonts w:eastAsia="微软雅黑"/>
          <w:b/>
          <w:color w:val="auto"/>
          <w:sz w:val="36"/>
          <w:szCs w:val="36"/>
          <w:highlight w:val="none"/>
        </w:rPr>
      </w:pPr>
      <w:r>
        <w:rPr>
          <w:rFonts w:eastAsia="微软雅黑"/>
          <w:b/>
          <w:color w:val="auto"/>
          <w:sz w:val="36"/>
          <w:szCs w:val="36"/>
          <w:highlight w:val="none"/>
        </w:rPr>
        <w:t>中山大学</w:t>
      </w:r>
    </w:p>
    <w:p w14:paraId="29A294DD">
      <w:pPr>
        <w:spacing w:line="360" w:lineRule="auto"/>
        <w:jc w:val="center"/>
        <w:rPr>
          <w:rFonts w:eastAsia="微软雅黑"/>
          <w:b/>
          <w:color w:val="auto"/>
          <w:sz w:val="32"/>
          <w:szCs w:val="32"/>
          <w:highlight w:val="none"/>
        </w:rPr>
      </w:pPr>
      <w:r>
        <w:rPr>
          <w:rFonts w:hint="eastAsia" w:eastAsia="微软雅黑"/>
          <w:b/>
          <w:color w:val="auto"/>
          <w:sz w:val="32"/>
          <w:szCs w:val="32"/>
          <w:highlight w:val="none"/>
        </w:rPr>
        <w:t>电子信息</w:t>
      </w:r>
      <w:r>
        <w:rPr>
          <w:rFonts w:ascii="Times New Roman" w:hAnsi="Times New Roman" w:eastAsia="微软雅黑" w:cs="Times New Roman"/>
          <w:b/>
          <w:color w:val="auto"/>
          <w:sz w:val="32"/>
          <w:szCs w:val="32"/>
          <w:highlight w:val="none"/>
        </w:rPr>
        <w:t>（0854）</w:t>
      </w:r>
      <w:r>
        <w:rPr>
          <w:rFonts w:eastAsia="微软雅黑"/>
          <w:b/>
          <w:color w:val="auto"/>
          <w:sz w:val="32"/>
          <w:szCs w:val="32"/>
          <w:highlight w:val="none"/>
        </w:rPr>
        <w:t>专业学位</w:t>
      </w:r>
      <w:r>
        <w:rPr>
          <w:rFonts w:hint="eastAsia" w:eastAsia="微软雅黑"/>
          <w:b/>
          <w:color w:val="auto"/>
          <w:sz w:val="32"/>
          <w:szCs w:val="32"/>
          <w:highlight w:val="none"/>
        </w:rPr>
        <w:t>连贯培养博士</w:t>
      </w:r>
      <w:r>
        <w:rPr>
          <w:rFonts w:eastAsia="微软雅黑"/>
          <w:b/>
          <w:color w:val="auto"/>
          <w:sz w:val="32"/>
          <w:szCs w:val="32"/>
          <w:highlight w:val="none"/>
        </w:rPr>
        <w:t>研究生培养方案</w:t>
      </w:r>
    </w:p>
    <w:p w14:paraId="345E08FF">
      <w:pPr>
        <w:snapToGrid w:val="0"/>
        <w:spacing w:line="360" w:lineRule="auto"/>
        <w:ind w:firstLine="570"/>
        <w:jc w:val="center"/>
        <w:rPr>
          <w:rFonts w:hint="eastAsia" w:eastAsia="微软雅黑"/>
          <w:color w:val="auto"/>
          <w:sz w:val="28"/>
          <w:szCs w:val="28"/>
          <w:highlight w:val="none"/>
          <w:lang w:val="en-US" w:eastAsia="zh-CN"/>
        </w:rPr>
      </w:pPr>
      <w:r>
        <w:rPr>
          <w:rFonts w:eastAsia="微软雅黑"/>
          <w:color w:val="auto"/>
          <w:sz w:val="28"/>
          <w:szCs w:val="28"/>
          <w:highlight w:val="none"/>
        </w:rPr>
        <w:t>（从</w:t>
      </w:r>
      <w:r>
        <w:rPr>
          <w:rFonts w:hint="eastAsia" w:ascii="Times New Roman" w:hAnsi="Times New Roman" w:eastAsia="微软雅黑" w:cs="Times New Roman"/>
          <w:b/>
          <w:color w:val="auto"/>
          <w:sz w:val="32"/>
          <w:szCs w:val="32"/>
          <w:highlight w:val="none"/>
          <w:lang w:val="en-US" w:eastAsia="zh-CN"/>
        </w:rPr>
        <w:t>2024</w:t>
      </w:r>
      <w:r>
        <w:rPr>
          <w:rFonts w:eastAsia="微软雅黑"/>
          <w:color w:val="auto"/>
          <w:sz w:val="28"/>
          <w:szCs w:val="28"/>
          <w:highlight w:val="none"/>
        </w:rPr>
        <w:t>年级开始执</w:t>
      </w:r>
      <w:r>
        <w:rPr>
          <w:rFonts w:hint="eastAsia" w:eastAsia="微软雅黑"/>
          <w:color w:val="auto"/>
          <w:sz w:val="28"/>
          <w:szCs w:val="28"/>
          <w:highlight w:val="none"/>
          <w:lang w:val="en-US" w:eastAsia="zh-CN"/>
        </w:rPr>
        <w:t>行）</w:t>
      </w:r>
    </w:p>
    <w:p w14:paraId="356D2D12">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培养目标与基本要求</w:t>
      </w:r>
    </w:p>
    <w:p w14:paraId="3E5BCB8B">
      <w:pPr>
        <w:adjustRightInd w:val="0"/>
        <w:snapToGrid w:val="0"/>
        <w:spacing w:line="540" w:lineRule="atLeast"/>
        <w:ind w:firstLine="560" w:firstLineChars="200"/>
        <w:rPr>
          <w:rFonts w:eastAsia="仿宋_GB2312"/>
          <w:color w:val="auto"/>
          <w:sz w:val="28"/>
          <w:szCs w:val="28"/>
          <w:highlight w:val="none"/>
        </w:rPr>
      </w:pPr>
      <w:r>
        <w:rPr>
          <w:rFonts w:hint="eastAsia" w:eastAsia="仿宋_GB2312"/>
          <w:color w:val="auto"/>
          <w:sz w:val="28"/>
          <w:szCs w:val="28"/>
          <w:highlight w:val="none"/>
        </w:rPr>
        <w:t>本专业</w:t>
      </w:r>
      <w:r>
        <w:rPr>
          <w:rFonts w:eastAsia="仿宋_GB2312"/>
          <w:color w:val="auto"/>
          <w:sz w:val="28"/>
          <w:szCs w:val="28"/>
          <w:highlight w:val="none"/>
        </w:rPr>
        <w:t>以习近平新时代中国特色社会主义思想为指导，全面贯彻党的教育方针，以立德树人为根本，以理想信念教育为核心，培养德智体美劳全面发展，具有社会责任感和创新精神的高层次人才。</w:t>
      </w:r>
    </w:p>
    <w:p w14:paraId="6A1A090A">
      <w:pPr>
        <w:adjustRightInd w:val="0"/>
        <w:snapToGrid w:val="0"/>
        <w:spacing w:line="540" w:lineRule="atLeast"/>
        <w:ind w:firstLine="560" w:firstLineChars="200"/>
        <w:rPr>
          <w:rFonts w:eastAsia="仿宋_GB2312"/>
          <w:color w:val="auto"/>
          <w:sz w:val="28"/>
          <w:szCs w:val="28"/>
          <w:highlight w:val="none"/>
        </w:rPr>
      </w:pPr>
      <w:r>
        <w:rPr>
          <w:rFonts w:hint="eastAsia" w:eastAsia="仿宋_GB2312"/>
          <w:color w:val="auto"/>
          <w:sz w:val="28"/>
          <w:szCs w:val="28"/>
          <w:highlight w:val="none"/>
        </w:rPr>
        <w:t>本专业培养</w:t>
      </w:r>
      <w:r>
        <w:rPr>
          <w:rFonts w:eastAsia="仿宋_GB2312"/>
          <w:color w:val="auto"/>
          <w:sz w:val="28"/>
          <w:szCs w:val="28"/>
          <w:highlight w:val="none"/>
        </w:rPr>
        <w:t>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553AF927">
      <w:pPr>
        <w:pStyle w:val="2"/>
      </w:pPr>
    </w:p>
    <w:p w14:paraId="1FA08DA3">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学习方式及学制</w:t>
      </w:r>
    </w:p>
    <w:p w14:paraId="49B19C54">
      <w:pPr>
        <w:adjustRightInd w:val="0"/>
        <w:snapToGrid w:val="0"/>
        <w:spacing w:line="540" w:lineRule="atLeast"/>
        <w:ind w:firstLine="562" w:firstLineChars="200"/>
        <w:jc w:val="left"/>
        <w:rPr>
          <w:rFonts w:eastAsia="仿宋_GB2312"/>
          <w:color w:val="auto"/>
          <w:sz w:val="28"/>
          <w:szCs w:val="28"/>
          <w:highlight w:val="none"/>
        </w:rPr>
      </w:pPr>
      <w:r>
        <w:rPr>
          <w:rFonts w:hint="eastAsia" w:eastAsia="仿宋_GB2312"/>
          <w:b/>
          <w:bCs/>
          <w:color w:val="auto"/>
          <w:sz w:val="28"/>
          <w:szCs w:val="28"/>
          <w:highlight w:val="none"/>
        </w:rPr>
        <w:t>硕博连读生：</w:t>
      </w:r>
      <w:r>
        <w:rPr>
          <w:rFonts w:hint="eastAsia" w:eastAsia="仿宋_GB2312"/>
          <w:color w:val="auto"/>
          <w:sz w:val="28"/>
          <w:szCs w:val="28"/>
          <w:highlight w:val="none"/>
        </w:rPr>
        <w:t>由硕士研究生直接转读博士研究生，学制五年，其中硕士阶段两年，博士阶段三年。</w:t>
      </w:r>
    </w:p>
    <w:p w14:paraId="0936FF73">
      <w:pPr>
        <w:adjustRightInd w:val="0"/>
        <w:snapToGrid w:val="0"/>
        <w:spacing w:line="540" w:lineRule="atLeast"/>
        <w:ind w:firstLine="562" w:firstLineChars="200"/>
        <w:jc w:val="left"/>
        <w:rPr>
          <w:rFonts w:eastAsia="仿宋_GB2312"/>
          <w:color w:val="auto"/>
          <w:sz w:val="28"/>
          <w:szCs w:val="28"/>
          <w:highlight w:val="none"/>
        </w:rPr>
      </w:pPr>
      <w:r>
        <w:rPr>
          <w:rFonts w:hint="eastAsia" w:eastAsia="仿宋_GB2312"/>
          <w:b/>
          <w:bCs/>
          <w:color w:val="auto"/>
          <w:sz w:val="28"/>
          <w:szCs w:val="28"/>
          <w:highlight w:val="none"/>
        </w:rPr>
        <w:t>直博生：</w:t>
      </w:r>
      <w:r>
        <w:rPr>
          <w:rFonts w:hint="eastAsia" w:eastAsia="仿宋_GB2312"/>
          <w:color w:val="auto"/>
          <w:sz w:val="28"/>
          <w:szCs w:val="28"/>
          <w:highlight w:val="none"/>
        </w:rPr>
        <w:t>由本科生直接攻读博士研究生，学制五年。</w:t>
      </w:r>
    </w:p>
    <w:p w14:paraId="05969545">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因特殊原因不能按期完成学业者，须按学籍管理的有关规定提出申请， 经导师及学院同意，研究生院批准，可适当延长学习年限，每次申请延长年限不超过 1 年；从博士入学时间算起最长学习年限不超过 8 年。</w:t>
      </w:r>
    </w:p>
    <w:p w14:paraId="1C6EE135">
      <w:pPr>
        <w:pStyle w:val="2"/>
      </w:pPr>
    </w:p>
    <w:p w14:paraId="31D47135">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专业学位领域（方向）</w:t>
      </w:r>
    </w:p>
    <w:p w14:paraId="0337AE24">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577E315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0EC3D7CA">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13F34492">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5D65B10B">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72199B3">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6B1D779A">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研究方向包括低空飞行控制、智能网联交通、特种机器人、机器学习与模式识别、智能感知与网络技术</w:t>
      </w:r>
      <w:r>
        <w:rPr>
          <w:rFonts w:hint="default" w:ascii="Times New Roman" w:hAnsi="Times New Roman" w:eastAsia="仿宋_GB2312" w:cs="Times New Roman"/>
          <w:color w:val="auto"/>
          <w:sz w:val="28"/>
          <w:szCs w:val="28"/>
          <w:highlight w:val="none"/>
          <w:lang w:eastAsia="zh-CN"/>
        </w:rPr>
        <w:t>等行业和技术领域方向</w:t>
      </w:r>
      <w:r>
        <w:rPr>
          <w:rFonts w:ascii="仿宋" w:hAnsi="仿宋" w:eastAsia="仿宋" w:cs="仿宋"/>
          <w:i w:val="0"/>
          <w:strike w:val="0"/>
          <w:color w:val="auto"/>
          <w:sz w:val="28"/>
          <w:highlight w:val="none"/>
          <w:u w:val="none"/>
        </w:rPr>
        <w:t>。</w:t>
      </w:r>
    </w:p>
    <w:p w14:paraId="5BCBF00B">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2E0AC1">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0D7EE815">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002820F4">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39960408">
      <w:pPr>
        <w:pStyle w:val="2"/>
        <w:rPr>
          <w:rFonts w:hint="default"/>
          <w:lang w:eastAsia="zh-CN"/>
        </w:rPr>
      </w:pPr>
    </w:p>
    <w:p w14:paraId="02F582A9">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培养方式</w:t>
      </w:r>
    </w:p>
    <w:p w14:paraId="6121ED6F">
      <w:pPr>
        <w:adjustRightInd w:val="0"/>
        <w:snapToGrid w:val="0"/>
        <w:spacing w:line="540" w:lineRule="atLeast"/>
        <w:ind w:firstLine="560" w:firstLineChars="200"/>
        <w:jc w:val="left"/>
        <w:rPr>
          <w:rFonts w:eastAsia="仿宋_GB2312"/>
          <w:color w:val="auto"/>
          <w:sz w:val="18"/>
          <w:szCs w:val="28"/>
          <w:highlight w:val="none"/>
        </w:rPr>
      </w:pPr>
      <w:r>
        <w:rPr>
          <w:rFonts w:hint="eastAsia" w:eastAsia="仿宋_GB2312"/>
          <w:color w:val="auto"/>
          <w:sz w:val="28"/>
          <w:szCs w:val="28"/>
          <w:highlight w:val="none"/>
        </w:rPr>
        <w:t>本专业按照全日制培养，执行中山大学全日制硕士研究生培养相关管理规定，采用课程学习、实践教学和学位论文相结合的培养方式。实行导师负责、导师组联合指导的培养方式。导师组由来自高校或科研机构、企业的3-4名专家组成；导师组名单应提交学院研究生教育与学位专门委员会审批。导师及导师组负责对研究生学位论文的指导，定期检查学位论文工作进度并提出具体建议。</w:t>
      </w:r>
    </w:p>
    <w:p w14:paraId="680D7E41">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直博生或者硕博连读研究生进入博士培养后，在后续培养过程中被认为不适合攻读博士学位，视不同情况，按照学校有关学籍规定申请转为硕士研究生培养或按照研究生结业等处理。</w:t>
      </w:r>
    </w:p>
    <w:p w14:paraId="351FBF55">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直博生或者硕博连读研究生进入博士培养后一般不得以个人原因要求转为硕士研究生培养。转为硕士研究生培养的申请，至少应该在答辩前一个学期以书面形式提出，经过导师和学院同意后，提交学校讨论审批。</w:t>
      </w:r>
    </w:p>
    <w:p w14:paraId="0AF21935">
      <w:pPr>
        <w:pStyle w:val="2"/>
      </w:pPr>
    </w:p>
    <w:p w14:paraId="6F025216">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课程设置</w:t>
      </w:r>
      <w:r>
        <w:rPr>
          <w:rFonts w:hint="eastAsia" w:ascii="Times New Roman" w:hAnsi="Times New Roman" w:eastAsia="黑体" w:cs="Times New Roman"/>
          <w:bCs/>
          <w:color w:val="auto"/>
          <w:sz w:val="32"/>
          <w:szCs w:val="32"/>
          <w:highlight w:val="none"/>
        </w:rPr>
        <w:t>与</w:t>
      </w:r>
      <w:r>
        <w:rPr>
          <w:rFonts w:ascii="Times New Roman" w:hAnsi="Times New Roman" w:eastAsia="黑体" w:cs="Times New Roman"/>
          <w:bCs/>
          <w:color w:val="auto"/>
          <w:sz w:val="32"/>
          <w:szCs w:val="32"/>
          <w:highlight w:val="none"/>
        </w:rPr>
        <w:t>学分要求</w:t>
      </w:r>
    </w:p>
    <w:p w14:paraId="0A38989F">
      <w:pPr>
        <w:adjustRightInd w:val="0"/>
        <w:snapToGrid w:val="0"/>
        <w:spacing w:line="540" w:lineRule="atLeast"/>
        <w:jc w:val="left"/>
        <w:rPr>
          <w:rFonts w:hint="eastAsia" w:ascii="宋体" w:hAnsi="宋体" w:eastAsia="仿宋_GB2312" w:cs="宋体"/>
          <w:color w:val="auto"/>
          <w:kern w:val="0"/>
          <w:sz w:val="24"/>
          <w:highlight w:val="none"/>
          <w:lang w:eastAsia="zh-CN"/>
        </w:rPr>
      </w:pPr>
      <w:r>
        <w:rPr>
          <w:rFonts w:eastAsia="仿宋_GB2312"/>
          <w:color w:val="auto"/>
          <w:sz w:val="28"/>
          <w:szCs w:val="28"/>
          <w:highlight w:val="none"/>
        </w:rPr>
        <w:tab/>
      </w:r>
      <w:r>
        <w:rPr>
          <w:rFonts w:hint="eastAsia" w:eastAsia="仿宋_GB2312"/>
          <w:color w:val="auto"/>
          <w:sz w:val="28"/>
          <w:szCs w:val="28"/>
          <w:highlight w:val="none"/>
        </w:rPr>
        <w:t xml:space="preserve"> 本专业博士研究生在学位论文答辩之前修读总学分不少于35</w:t>
      </w:r>
      <w:r>
        <w:rPr>
          <w:rFonts w:eastAsia="仿宋_GB2312"/>
          <w:color w:val="auto"/>
          <w:sz w:val="28"/>
          <w:szCs w:val="28"/>
          <w:highlight w:val="none"/>
        </w:rPr>
        <w:t>学分，必修课29学分（</w:t>
      </w:r>
      <w:r>
        <w:rPr>
          <w:rFonts w:hint="eastAsia" w:eastAsia="仿宋_GB2312"/>
          <w:color w:val="auto"/>
          <w:sz w:val="28"/>
          <w:szCs w:val="28"/>
          <w:highlight w:val="none"/>
        </w:rPr>
        <w:t>其中</w:t>
      </w:r>
      <w:r>
        <w:rPr>
          <w:rFonts w:eastAsia="仿宋_GB2312"/>
          <w:color w:val="auto"/>
          <w:sz w:val="28"/>
          <w:szCs w:val="28"/>
          <w:highlight w:val="none"/>
        </w:rPr>
        <w:t>公共必修课5分</w:t>
      </w:r>
      <w:r>
        <w:rPr>
          <w:rFonts w:hint="eastAsia" w:eastAsia="仿宋_GB2312"/>
          <w:color w:val="auto"/>
          <w:sz w:val="28"/>
          <w:szCs w:val="28"/>
          <w:highlight w:val="none"/>
        </w:rPr>
        <w:t>，硕士专业必修课1</w:t>
      </w:r>
      <w:r>
        <w:rPr>
          <w:rFonts w:eastAsia="仿宋_GB2312"/>
          <w:color w:val="auto"/>
          <w:sz w:val="28"/>
          <w:szCs w:val="28"/>
          <w:highlight w:val="none"/>
        </w:rPr>
        <w:t>3</w:t>
      </w:r>
      <w:r>
        <w:rPr>
          <w:rFonts w:hint="eastAsia" w:eastAsia="仿宋_GB2312"/>
          <w:color w:val="auto"/>
          <w:sz w:val="28"/>
          <w:szCs w:val="28"/>
          <w:highlight w:val="none"/>
        </w:rPr>
        <w:t>学分，博士专业必修课</w:t>
      </w:r>
      <w:r>
        <w:rPr>
          <w:rFonts w:hint="eastAsia" w:eastAsia="仿宋_GB2312"/>
          <w:color w:val="auto"/>
          <w:sz w:val="28"/>
          <w:szCs w:val="28"/>
          <w:highlight w:val="none"/>
          <w:lang w:val="en-US" w:eastAsia="zh-CN"/>
        </w:rPr>
        <w:t>11</w:t>
      </w:r>
      <w:r>
        <w:rPr>
          <w:rFonts w:hint="eastAsia" w:eastAsia="仿宋_GB2312"/>
          <w:color w:val="auto"/>
          <w:sz w:val="28"/>
          <w:szCs w:val="28"/>
          <w:highlight w:val="none"/>
        </w:rPr>
        <w:t>学分</w:t>
      </w:r>
      <w:r>
        <w:rPr>
          <w:rFonts w:hint="eastAsia" w:eastAsia="仿宋_GB2312"/>
          <w:color w:val="auto"/>
          <w:sz w:val="28"/>
          <w:szCs w:val="28"/>
          <w:highlight w:val="none"/>
          <w:lang w:eastAsia="zh-CN"/>
        </w:rPr>
        <w:t>（</w:t>
      </w:r>
      <w:r>
        <w:rPr>
          <w:rFonts w:hint="eastAsia" w:eastAsia="仿宋_GB2312"/>
          <w:color w:val="auto"/>
          <w:sz w:val="28"/>
          <w:szCs w:val="28"/>
          <w:highlight w:val="none"/>
          <w:lang w:val="en-US" w:eastAsia="zh-CN"/>
        </w:rPr>
        <w:t>含</w:t>
      </w:r>
      <w:r>
        <w:rPr>
          <w:rFonts w:hint="eastAsia" w:eastAsia="仿宋_GB2312"/>
          <w:color w:val="auto"/>
          <w:sz w:val="28"/>
          <w:szCs w:val="28"/>
          <w:highlight w:val="none"/>
        </w:rPr>
        <w:t>专业实践8学分</w:t>
      </w:r>
      <w:r>
        <w:rPr>
          <w:rFonts w:hint="eastAsia" w:eastAsia="仿宋_GB2312"/>
          <w:color w:val="auto"/>
          <w:sz w:val="28"/>
          <w:szCs w:val="28"/>
          <w:highlight w:val="none"/>
          <w:lang w:eastAsia="zh-CN"/>
        </w:rPr>
        <w:t>）</w:t>
      </w:r>
      <w:r>
        <w:rPr>
          <w:rFonts w:eastAsia="仿宋_GB2312"/>
          <w:color w:val="auto"/>
          <w:sz w:val="28"/>
          <w:szCs w:val="28"/>
          <w:highlight w:val="none"/>
        </w:rPr>
        <w:t>）。学生按照</w:t>
      </w:r>
      <w:r>
        <w:rPr>
          <w:rFonts w:hint="eastAsia" w:eastAsia="仿宋_GB2312"/>
          <w:color w:val="auto"/>
          <w:sz w:val="28"/>
          <w:szCs w:val="28"/>
          <w:highlight w:val="none"/>
        </w:rPr>
        <w:t>培养单位要求和</w:t>
      </w:r>
      <w:r>
        <w:rPr>
          <w:rFonts w:eastAsia="仿宋_GB2312"/>
          <w:color w:val="auto"/>
          <w:sz w:val="28"/>
          <w:szCs w:val="28"/>
          <w:highlight w:val="none"/>
        </w:rPr>
        <w:t>研究</w:t>
      </w:r>
      <w:r>
        <w:rPr>
          <w:rFonts w:hint="eastAsia" w:eastAsia="仿宋_GB2312"/>
          <w:color w:val="auto"/>
          <w:sz w:val="28"/>
          <w:szCs w:val="28"/>
          <w:highlight w:val="none"/>
        </w:rPr>
        <w:t>领域</w:t>
      </w:r>
      <w:r>
        <w:rPr>
          <w:rFonts w:eastAsia="仿宋_GB2312"/>
          <w:color w:val="auto"/>
          <w:sz w:val="28"/>
          <w:szCs w:val="28"/>
          <w:highlight w:val="none"/>
        </w:rPr>
        <w:t>方向选择</w:t>
      </w:r>
      <w:r>
        <w:rPr>
          <w:rFonts w:hint="eastAsia" w:eastAsia="仿宋_GB2312"/>
          <w:color w:val="auto"/>
          <w:sz w:val="28"/>
          <w:szCs w:val="28"/>
          <w:highlight w:val="none"/>
        </w:rPr>
        <w:t>对应的</w:t>
      </w:r>
      <w:r>
        <w:rPr>
          <w:rFonts w:eastAsia="仿宋_GB2312"/>
          <w:color w:val="auto"/>
          <w:sz w:val="28"/>
          <w:szCs w:val="28"/>
          <w:highlight w:val="none"/>
        </w:rPr>
        <w:t>模块进行</w:t>
      </w:r>
      <w:r>
        <w:rPr>
          <w:rFonts w:hint="eastAsia" w:eastAsia="仿宋_GB2312"/>
          <w:color w:val="auto"/>
          <w:sz w:val="28"/>
          <w:szCs w:val="28"/>
          <w:highlight w:val="none"/>
        </w:rPr>
        <w:t>课程</w:t>
      </w:r>
      <w:r>
        <w:rPr>
          <w:rFonts w:eastAsia="仿宋_GB2312"/>
          <w:color w:val="auto"/>
          <w:sz w:val="28"/>
          <w:szCs w:val="28"/>
          <w:highlight w:val="none"/>
        </w:rPr>
        <w:t>修读</w:t>
      </w:r>
      <w:r>
        <w:rPr>
          <w:rFonts w:hint="eastAsia" w:eastAsia="仿宋_GB2312"/>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69909C4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课程设置如下表</w:t>
      </w:r>
      <w:r>
        <w:rPr>
          <w:rFonts w:eastAsia="仿宋_GB2312"/>
          <w:color w:val="auto"/>
          <w:sz w:val="28"/>
          <w:szCs w:val="28"/>
          <w:highlight w:val="none"/>
        </w:rPr>
        <w:t>：</w:t>
      </w:r>
    </w:p>
    <w:p w14:paraId="5F09A31A">
      <w:pPr>
        <w:adjustRightInd w:val="0"/>
        <w:snapToGrid w:val="0"/>
        <w:spacing w:line="540" w:lineRule="atLeast"/>
        <w:ind w:firstLine="482" w:firstLineChars="200"/>
        <w:jc w:val="left"/>
        <w:rPr>
          <w:rFonts w:hint="eastAsia"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电子信息连贯培养博士生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1"/>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718"/>
        <w:gridCol w:w="1136"/>
        <w:gridCol w:w="3696"/>
        <w:gridCol w:w="621"/>
        <w:gridCol w:w="590"/>
        <w:gridCol w:w="1435"/>
        <w:gridCol w:w="821"/>
      </w:tblGrid>
      <w:tr w14:paraId="7009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9" w:type="dxa"/>
            <w:vAlign w:val="center"/>
          </w:tcPr>
          <w:p w14:paraId="359114A1">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sz w:val="18"/>
                <w:szCs w:val="18"/>
                <w:shd w:val="clear" w:color="auto" w:fill="auto"/>
              </w:rPr>
              <w:t>课程属性</w:t>
            </w:r>
          </w:p>
        </w:tc>
        <w:tc>
          <w:tcPr>
            <w:tcW w:w="718" w:type="dxa"/>
            <w:vAlign w:val="center"/>
          </w:tcPr>
          <w:p w14:paraId="243753FE">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课程类别</w:t>
            </w:r>
          </w:p>
        </w:tc>
        <w:tc>
          <w:tcPr>
            <w:tcW w:w="1136" w:type="dxa"/>
            <w:vAlign w:val="center"/>
          </w:tcPr>
          <w:p w14:paraId="70AFCEA4">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课程代码</w:t>
            </w:r>
          </w:p>
        </w:tc>
        <w:tc>
          <w:tcPr>
            <w:tcW w:w="3696" w:type="dxa"/>
            <w:vAlign w:val="center"/>
          </w:tcPr>
          <w:p w14:paraId="6FAB59D1">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课程名称/英文名称</w:t>
            </w:r>
          </w:p>
        </w:tc>
        <w:tc>
          <w:tcPr>
            <w:tcW w:w="621" w:type="dxa"/>
            <w:vAlign w:val="center"/>
          </w:tcPr>
          <w:p w14:paraId="4D84A5D6">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学时</w:t>
            </w:r>
          </w:p>
        </w:tc>
        <w:tc>
          <w:tcPr>
            <w:tcW w:w="590" w:type="dxa"/>
            <w:vAlign w:val="center"/>
          </w:tcPr>
          <w:p w14:paraId="514C7F8F">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学分</w:t>
            </w:r>
          </w:p>
        </w:tc>
        <w:tc>
          <w:tcPr>
            <w:tcW w:w="1435" w:type="dxa"/>
            <w:vAlign w:val="center"/>
          </w:tcPr>
          <w:p w14:paraId="097E20B7">
            <w:pPr>
              <w:jc w:val="center"/>
              <w:rPr>
                <w:rFonts w:hint="default" w:ascii="仿宋" w:hAnsi="仿宋" w:eastAsia="仿宋" w:cs="仿宋"/>
                <w:b/>
                <w:color w:val="333333"/>
                <w:kern w:val="0"/>
                <w:sz w:val="18"/>
                <w:szCs w:val="18"/>
                <w:shd w:val="clear" w:color="auto" w:fill="auto"/>
              </w:rPr>
            </w:pPr>
            <w:r>
              <w:rPr>
                <w:rFonts w:hint="default" w:ascii="仿宋" w:hAnsi="仿宋" w:eastAsia="仿宋" w:cs="仿宋"/>
                <w:b/>
                <w:color w:val="333333"/>
                <w:kern w:val="0"/>
                <w:sz w:val="18"/>
                <w:szCs w:val="18"/>
                <w:shd w:val="clear" w:color="auto" w:fill="auto"/>
              </w:rPr>
              <w:t>课程负责人</w:t>
            </w:r>
          </w:p>
        </w:tc>
        <w:tc>
          <w:tcPr>
            <w:tcW w:w="821" w:type="dxa"/>
            <w:vAlign w:val="center"/>
          </w:tcPr>
          <w:p w14:paraId="47D6C4EA">
            <w:pPr>
              <w:jc w:val="center"/>
              <w:rPr>
                <w:rFonts w:hint="default" w:ascii="Times New Roman" w:hAnsi="Times New Roman" w:eastAsia="仿宋_GB2312" w:cs="Times New Roman"/>
                <w:b/>
                <w:color w:val="auto"/>
                <w:kern w:val="0"/>
                <w:sz w:val="18"/>
                <w:szCs w:val="18"/>
                <w:highlight w:val="none"/>
              </w:rPr>
            </w:pPr>
            <w:r>
              <w:rPr>
                <w:rFonts w:hint="default" w:ascii="Times New Roman" w:hAnsi="Times New Roman" w:eastAsia="仿宋_GB2312" w:cs="Times New Roman"/>
                <w:b/>
                <w:color w:val="auto"/>
                <w:kern w:val="0"/>
                <w:sz w:val="18"/>
                <w:szCs w:val="18"/>
                <w:highlight w:val="none"/>
              </w:rPr>
              <w:t>备注</w:t>
            </w:r>
          </w:p>
        </w:tc>
      </w:tr>
      <w:tr w14:paraId="50E76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restart"/>
            <w:textDirection w:val="tbRlV"/>
          </w:tcPr>
          <w:p w14:paraId="5907DE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718" w:type="dxa"/>
            <w:vMerge w:val="restart"/>
            <w:textDirection w:val="tbRlV"/>
          </w:tcPr>
          <w:p w14:paraId="0F44993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136" w:type="dxa"/>
            <w:vAlign w:val="center"/>
          </w:tcPr>
          <w:p w14:paraId="6AB831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MAR5001</w:t>
            </w:r>
          </w:p>
        </w:tc>
        <w:tc>
          <w:tcPr>
            <w:tcW w:w="3696" w:type="dxa"/>
            <w:vAlign w:val="center"/>
          </w:tcPr>
          <w:p w14:paraId="131443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21" w:type="dxa"/>
            <w:vAlign w:val="center"/>
          </w:tcPr>
          <w:p w14:paraId="475544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66C9ED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03A516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Align w:val="center"/>
          </w:tcPr>
          <w:p w14:paraId="6820C25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962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continue"/>
            <w:textDirection w:val="tbRlV"/>
          </w:tcPr>
          <w:p w14:paraId="725B12E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559328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3F2D5D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MAR5002</w:t>
            </w:r>
          </w:p>
        </w:tc>
        <w:tc>
          <w:tcPr>
            <w:tcW w:w="3696" w:type="dxa"/>
            <w:vAlign w:val="center"/>
          </w:tcPr>
          <w:p w14:paraId="633E5E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21" w:type="dxa"/>
            <w:vAlign w:val="center"/>
          </w:tcPr>
          <w:p w14:paraId="10F598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90" w:type="dxa"/>
            <w:vAlign w:val="center"/>
          </w:tcPr>
          <w:p w14:paraId="772915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35" w:type="dxa"/>
            <w:vAlign w:val="center"/>
          </w:tcPr>
          <w:p w14:paraId="21CDD7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Merge w:val="restart"/>
            <w:vAlign w:val="center"/>
          </w:tcPr>
          <w:p w14:paraId="6DB2B8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6BFCB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9" w:type="dxa"/>
            <w:vMerge w:val="continue"/>
            <w:textDirection w:val="tbRlV"/>
          </w:tcPr>
          <w:p w14:paraId="20AB58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7EB4A5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15B2D2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MAR5003</w:t>
            </w:r>
          </w:p>
        </w:tc>
        <w:tc>
          <w:tcPr>
            <w:tcW w:w="3696" w:type="dxa"/>
            <w:vAlign w:val="center"/>
          </w:tcPr>
          <w:p w14:paraId="2C110F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21" w:type="dxa"/>
            <w:vAlign w:val="center"/>
          </w:tcPr>
          <w:p w14:paraId="3F8694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90" w:type="dxa"/>
            <w:vAlign w:val="center"/>
          </w:tcPr>
          <w:p w14:paraId="03750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35" w:type="dxa"/>
            <w:vAlign w:val="center"/>
          </w:tcPr>
          <w:p w14:paraId="6F626E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821" w:type="dxa"/>
            <w:vMerge w:val="continue"/>
            <w:vAlign w:val="center"/>
          </w:tcPr>
          <w:p w14:paraId="3D7EF7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0145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589" w:type="dxa"/>
            <w:vMerge w:val="continue"/>
            <w:textDirection w:val="tbRlV"/>
          </w:tcPr>
          <w:p w14:paraId="5D0B357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278735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4AABDF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FL5015</w:t>
            </w:r>
          </w:p>
        </w:tc>
        <w:tc>
          <w:tcPr>
            <w:tcW w:w="3696" w:type="dxa"/>
            <w:vAlign w:val="center"/>
          </w:tcPr>
          <w:p w14:paraId="6343AA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621" w:type="dxa"/>
            <w:vAlign w:val="center"/>
          </w:tcPr>
          <w:p w14:paraId="0B5498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2703F6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5B0781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821" w:type="dxa"/>
            <w:vAlign w:val="center"/>
          </w:tcPr>
          <w:p w14:paraId="57ED6E6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90E4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9" w:type="dxa"/>
            <w:vMerge w:val="continue"/>
            <w:textDirection w:val="tbRlV"/>
          </w:tcPr>
          <w:p w14:paraId="61205D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tcPr>
          <w:p w14:paraId="1507A0DA">
            <w:pPr>
              <w:ind w:left="0" w:leftChars="0" w:firstLine="0" w:firstLineChars="0"/>
              <w:jc w:val="both"/>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000C067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p w14:paraId="5EDFF3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51B10E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48EA38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79AE42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6DB812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5C0E140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05C3614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91769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BE6B8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661398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0E170B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p>
          <w:p w14:paraId="37665B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3696" w:type="dxa"/>
            <w:vAlign w:val="center"/>
          </w:tcPr>
          <w:p w14:paraId="751336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479630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21" w:type="dxa"/>
            <w:vAlign w:val="center"/>
          </w:tcPr>
          <w:p w14:paraId="4F96C7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0D845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2E6489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821" w:type="dxa"/>
            <w:vAlign w:val="center"/>
          </w:tcPr>
          <w:p w14:paraId="1D020D1E">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0AC233B1">
            <w:pPr>
              <w:jc w:val="both"/>
              <w:rPr>
                <w:rFonts w:hint="default"/>
                <w:lang w:val="en-US" w:eastAsia="zh-CN"/>
              </w:rPr>
            </w:pP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650F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589" w:type="dxa"/>
            <w:vMerge w:val="continue"/>
            <w:textDirection w:val="tbRlV"/>
          </w:tcPr>
          <w:p w14:paraId="68341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0AFCCE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3C3579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1FE762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4C4D0C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3696" w:type="dxa"/>
            <w:vAlign w:val="center"/>
          </w:tcPr>
          <w:p w14:paraId="3A3C81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D1722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21" w:type="dxa"/>
            <w:vAlign w:val="center"/>
          </w:tcPr>
          <w:p w14:paraId="533462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vAlign w:val="center"/>
          </w:tcPr>
          <w:p w14:paraId="5EB09E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vAlign w:val="center"/>
          </w:tcPr>
          <w:p w14:paraId="0F75292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821" w:type="dxa"/>
            <w:vAlign w:val="center"/>
          </w:tcPr>
          <w:p w14:paraId="413E60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1A2D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589" w:type="dxa"/>
            <w:vMerge w:val="continue"/>
            <w:textDirection w:val="tbRlV"/>
          </w:tcPr>
          <w:p w14:paraId="2FB859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79963B5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10C363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9593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DCS6703</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p>
        </w:tc>
        <w:tc>
          <w:tcPr>
            <w:tcW w:w="3696" w:type="dxa"/>
            <w:vAlign w:val="center"/>
          </w:tcPr>
          <w:p w14:paraId="393E7944">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093019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21" w:type="dxa"/>
            <w:vAlign w:val="center"/>
          </w:tcPr>
          <w:p w14:paraId="2363412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vAlign w:val="center"/>
          </w:tcPr>
          <w:p w14:paraId="4E0E81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vAlign w:val="center"/>
          </w:tcPr>
          <w:p w14:paraId="13BC39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821" w:type="dxa"/>
            <w:vAlign w:val="center"/>
          </w:tcPr>
          <w:p w14:paraId="586001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4DC25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89" w:type="dxa"/>
            <w:vMerge w:val="continue"/>
            <w:textDirection w:val="tbRlV"/>
          </w:tcPr>
          <w:p w14:paraId="31D56A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646103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vAlign w:val="center"/>
          </w:tcPr>
          <w:p w14:paraId="6EF4EB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DCS7201</w:t>
            </w:r>
          </w:p>
        </w:tc>
        <w:tc>
          <w:tcPr>
            <w:tcW w:w="3696" w:type="dxa"/>
            <w:vAlign w:val="center"/>
          </w:tcPr>
          <w:p w14:paraId="7562D4E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计算复杂性</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理论</w:t>
            </w:r>
          </w:p>
          <w:p w14:paraId="0AACFF33">
            <w:pPr>
              <w:pStyle w:val="2"/>
              <w:jc w:val="center"/>
              <w:rPr>
                <w:rFonts w:hint="default"/>
                <w:lang w:val="en-US" w:eastAsia="zh-CN"/>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of Computational Complexity</w:t>
            </w:r>
          </w:p>
        </w:tc>
        <w:tc>
          <w:tcPr>
            <w:tcW w:w="621" w:type="dxa"/>
            <w:vAlign w:val="center"/>
          </w:tcPr>
          <w:p w14:paraId="5EE53EB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vAlign w:val="center"/>
          </w:tcPr>
          <w:p w14:paraId="289DF6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vAlign w:val="center"/>
          </w:tcPr>
          <w:p w14:paraId="2842A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w:t>
            </w:r>
          </w:p>
        </w:tc>
        <w:tc>
          <w:tcPr>
            <w:tcW w:w="821" w:type="dxa"/>
            <w:vAlign w:val="center"/>
          </w:tcPr>
          <w:p w14:paraId="5D8ADE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834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89" w:type="dxa"/>
            <w:vMerge w:val="continue"/>
            <w:textDirection w:val="tbRlV"/>
          </w:tcPr>
          <w:p w14:paraId="52135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vAlign w:val="center"/>
          </w:tcPr>
          <w:p w14:paraId="67D7C4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（硕士阶段）</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（6学分）</w:t>
            </w:r>
          </w:p>
        </w:tc>
        <w:tc>
          <w:tcPr>
            <w:tcW w:w="1136" w:type="dxa"/>
            <w:shd w:val="clear" w:color="auto" w:fill="auto"/>
            <w:vAlign w:val="center"/>
          </w:tcPr>
          <w:p w14:paraId="6DB66C9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3696" w:type="dxa"/>
            <w:shd w:val="clear" w:color="auto" w:fill="auto"/>
            <w:vAlign w:val="center"/>
          </w:tcPr>
          <w:p w14:paraId="0AF741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0758F2B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21" w:type="dxa"/>
            <w:shd w:val="clear" w:color="auto" w:fill="auto"/>
            <w:vAlign w:val="center"/>
          </w:tcPr>
          <w:p w14:paraId="771E905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09FB0B4">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41B55CB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821" w:type="dxa"/>
            <w:shd w:val="clear" w:color="auto" w:fill="auto"/>
            <w:vAlign w:val="center"/>
          </w:tcPr>
          <w:p w14:paraId="24A79044">
            <w:pPr>
              <w:ind w:firstLine="180" w:firstLineChars="100"/>
              <w:jc w:val="both"/>
              <w:rPr>
                <w:rFonts w:hint="eastAsia" w:asciiTheme="minorHAnsi" w:hAnsiTheme="minorHAnsi" w:eastAsiaTheme="minorEastAsia" w:cstheme="minorBidi"/>
                <w:kern w:val="2"/>
                <w:sz w:val="21"/>
                <w:szCs w:val="24"/>
                <w:lang w:val="en-US" w:eastAsia="zh-CN" w:bidi="ar-SA"/>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秋（必选）</w:t>
            </w:r>
          </w:p>
        </w:tc>
      </w:tr>
      <w:tr w14:paraId="456C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89" w:type="dxa"/>
            <w:vMerge w:val="continue"/>
            <w:textDirection w:val="tbRlV"/>
          </w:tcPr>
          <w:p w14:paraId="5FC8DB1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vAlign w:val="center"/>
          </w:tcPr>
          <w:p w14:paraId="31C5AF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7B77920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3696" w:type="dxa"/>
            <w:shd w:val="clear" w:color="auto" w:fill="auto"/>
            <w:vAlign w:val="center"/>
          </w:tcPr>
          <w:p w14:paraId="671941F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51AFE56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21" w:type="dxa"/>
            <w:shd w:val="clear" w:color="auto" w:fill="auto"/>
            <w:vAlign w:val="center"/>
          </w:tcPr>
          <w:p w14:paraId="4A0E6A8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1C29F5C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05F00FA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821" w:type="dxa"/>
            <w:shd w:val="clear" w:color="auto" w:fill="auto"/>
            <w:vAlign w:val="center"/>
          </w:tcPr>
          <w:p w14:paraId="1AA25A8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BC3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89" w:type="dxa"/>
            <w:vMerge w:val="continue"/>
            <w:textDirection w:val="tbRlV"/>
          </w:tcPr>
          <w:p w14:paraId="6FB9FB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vAlign w:val="center"/>
          </w:tcPr>
          <w:p w14:paraId="323332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6DD8BB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3696" w:type="dxa"/>
            <w:shd w:val="clear" w:color="auto" w:fill="auto"/>
            <w:vAlign w:val="center"/>
          </w:tcPr>
          <w:p w14:paraId="64D0EC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67274A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21" w:type="dxa"/>
            <w:shd w:val="clear" w:color="auto" w:fill="auto"/>
            <w:vAlign w:val="center"/>
          </w:tcPr>
          <w:p w14:paraId="331B2B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8F1829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141DED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陈志广、吴迪、黄凯、胡淼、张献伟、黄聃、沈明华</w:t>
            </w:r>
          </w:p>
        </w:tc>
        <w:tc>
          <w:tcPr>
            <w:tcW w:w="821" w:type="dxa"/>
            <w:vAlign w:val="center"/>
          </w:tcPr>
          <w:p w14:paraId="3516880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B3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89" w:type="dxa"/>
            <w:vMerge w:val="continue"/>
            <w:textDirection w:val="tbRlV"/>
          </w:tcPr>
          <w:p w14:paraId="511398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vAlign w:val="center"/>
          </w:tcPr>
          <w:p w14:paraId="33BD8D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5F5C32F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DCS5205</w:t>
            </w:r>
          </w:p>
        </w:tc>
        <w:tc>
          <w:tcPr>
            <w:tcW w:w="3696" w:type="dxa"/>
            <w:shd w:val="clear" w:color="auto" w:fill="auto"/>
            <w:vAlign w:val="center"/>
          </w:tcPr>
          <w:p w14:paraId="185791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高级数据库技术</w:t>
            </w:r>
          </w:p>
          <w:p w14:paraId="6AE7BBB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Database Technology</w:t>
            </w:r>
          </w:p>
        </w:tc>
        <w:tc>
          <w:tcPr>
            <w:tcW w:w="621" w:type="dxa"/>
            <w:shd w:val="clear" w:color="auto" w:fill="auto"/>
            <w:vAlign w:val="center"/>
          </w:tcPr>
          <w:p w14:paraId="6AC5F2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207E05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22B56A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刘玉葆、饶洋辉</w:t>
            </w:r>
          </w:p>
        </w:tc>
        <w:tc>
          <w:tcPr>
            <w:tcW w:w="821" w:type="dxa"/>
            <w:shd w:val="clear" w:color="auto" w:fill="auto"/>
            <w:vAlign w:val="center"/>
          </w:tcPr>
          <w:p w14:paraId="69871B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98F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589" w:type="dxa"/>
            <w:vMerge w:val="continue"/>
            <w:textDirection w:val="tbRlV"/>
          </w:tcPr>
          <w:p w14:paraId="16F6F6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restart"/>
            <w:textDirection w:val="tbRlV"/>
          </w:tcPr>
          <w:p w14:paraId="29FE72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专业方向（博士阶段）（</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至少</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3学分</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）（选硕士阶段方向课未选的一门）</w:t>
            </w:r>
          </w:p>
          <w:p w14:paraId="7E6F43CB">
            <w:pPr>
              <w:jc w:val="both"/>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42F6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5288F7C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3696" w:type="dxa"/>
            <w:shd w:val="clear" w:color="auto" w:fill="auto"/>
            <w:vAlign w:val="center"/>
          </w:tcPr>
          <w:p w14:paraId="54CE690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510E007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21" w:type="dxa"/>
            <w:shd w:val="clear" w:color="auto" w:fill="auto"/>
            <w:vAlign w:val="center"/>
          </w:tcPr>
          <w:p w14:paraId="20694A9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5C86CEB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4372A61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821" w:type="dxa"/>
            <w:shd w:val="clear" w:color="auto" w:fill="auto"/>
            <w:vAlign w:val="center"/>
          </w:tcPr>
          <w:p w14:paraId="60EC7A1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35B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589" w:type="dxa"/>
            <w:vMerge w:val="continue"/>
            <w:textDirection w:val="tbRlV"/>
          </w:tcPr>
          <w:p w14:paraId="09979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718" w:type="dxa"/>
            <w:vMerge w:val="continue"/>
            <w:textDirection w:val="tbRlV"/>
          </w:tcPr>
          <w:p w14:paraId="20132E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6270519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3696" w:type="dxa"/>
            <w:shd w:val="clear" w:color="auto" w:fill="auto"/>
            <w:vAlign w:val="center"/>
          </w:tcPr>
          <w:p w14:paraId="7BB0C6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7A48BB8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21" w:type="dxa"/>
            <w:shd w:val="clear" w:color="auto" w:fill="auto"/>
            <w:vAlign w:val="center"/>
          </w:tcPr>
          <w:p w14:paraId="6BAE21E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15B9672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0D89A29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陈志广、吴迪、黄凯、胡淼、张献伟、黄聃、沈明华</w:t>
            </w:r>
          </w:p>
        </w:tc>
        <w:tc>
          <w:tcPr>
            <w:tcW w:w="821" w:type="dxa"/>
            <w:shd w:val="clear" w:color="auto" w:fill="auto"/>
            <w:vAlign w:val="center"/>
          </w:tcPr>
          <w:p w14:paraId="1F55336F">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930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589" w:type="dxa"/>
            <w:vMerge w:val="continue"/>
            <w:shd w:val="clear" w:color="auto" w:fill="auto"/>
            <w:textDirection w:val="tbRlV"/>
            <w:vAlign w:val="top"/>
          </w:tcPr>
          <w:p w14:paraId="5DDF803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p>
        </w:tc>
        <w:tc>
          <w:tcPr>
            <w:tcW w:w="718" w:type="dxa"/>
            <w:vMerge w:val="continue"/>
            <w:textDirection w:val="tbRlV"/>
          </w:tcPr>
          <w:p w14:paraId="2412AF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shd w:val="clear" w:color="auto" w:fill="auto"/>
            <w:vAlign w:val="center"/>
          </w:tcPr>
          <w:p w14:paraId="319BFDE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3696" w:type="dxa"/>
            <w:shd w:val="clear" w:color="auto" w:fill="auto"/>
            <w:vAlign w:val="center"/>
          </w:tcPr>
          <w:p w14:paraId="6AA97E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33F2006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21" w:type="dxa"/>
            <w:shd w:val="clear" w:color="auto" w:fill="auto"/>
            <w:vAlign w:val="center"/>
          </w:tcPr>
          <w:p w14:paraId="192503E1">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shd w:val="clear" w:color="auto" w:fill="auto"/>
            <w:vAlign w:val="center"/>
          </w:tcPr>
          <w:p w14:paraId="33365DA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shd w:val="clear" w:color="auto" w:fill="auto"/>
            <w:vAlign w:val="center"/>
          </w:tcPr>
          <w:p w14:paraId="732F0C1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王甲海、潘嵘、梁上松、赖韩江、任江涛、王可泽</w:t>
            </w:r>
          </w:p>
        </w:tc>
        <w:tc>
          <w:tcPr>
            <w:tcW w:w="821" w:type="dxa"/>
            <w:shd w:val="clear" w:color="auto" w:fill="auto"/>
            <w:vAlign w:val="center"/>
          </w:tcPr>
          <w:p w14:paraId="3E38311D">
            <w:pPr>
              <w:ind w:firstLine="180" w:firstLineChars="100"/>
              <w:jc w:val="both"/>
              <w:rPr>
                <w:rFonts w:hint="eastAsia" w:asciiTheme="minorHAnsi" w:hAnsiTheme="minorHAnsi" w:eastAsiaTheme="minorEastAsia" w:cstheme="minorBidi"/>
                <w:kern w:val="2"/>
                <w:sz w:val="21"/>
                <w:szCs w:val="24"/>
                <w:lang w:val="en-US" w:eastAsia="zh-CN" w:bidi="ar-SA"/>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F7B8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307" w:type="dxa"/>
            <w:gridSpan w:val="2"/>
            <w:textDirection w:val="tbRlV"/>
            <w:vAlign w:val="center"/>
          </w:tcPr>
          <w:p w14:paraId="5EA1DF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必修环节</w:t>
            </w:r>
          </w:p>
        </w:tc>
        <w:tc>
          <w:tcPr>
            <w:tcW w:w="1136" w:type="dxa"/>
            <w:vAlign w:val="center"/>
          </w:tcPr>
          <w:p w14:paraId="52DFCB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DCS8904</w:t>
            </w:r>
          </w:p>
        </w:tc>
        <w:tc>
          <w:tcPr>
            <w:tcW w:w="3696" w:type="dxa"/>
            <w:vAlign w:val="center"/>
          </w:tcPr>
          <w:p w14:paraId="6C309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0CADA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21" w:type="dxa"/>
            <w:vAlign w:val="center"/>
          </w:tcPr>
          <w:p w14:paraId="249B35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144</w:t>
            </w:r>
          </w:p>
        </w:tc>
        <w:tc>
          <w:tcPr>
            <w:tcW w:w="590" w:type="dxa"/>
            <w:vAlign w:val="center"/>
          </w:tcPr>
          <w:p w14:paraId="6B83AD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8</w:t>
            </w:r>
          </w:p>
        </w:tc>
        <w:tc>
          <w:tcPr>
            <w:tcW w:w="1435" w:type="dxa"/>
            <w:vAlign w:val="center"/>
          </w:tcPr>
          <w:p w14:paraId="0BD027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821" w:type="dxa"/>
            <w:vAlign w:val="center"/>
          </w:tcPr>
          <w:p w14:paraId="405D738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4C2EFB93">
            <w:pPr>
              <w:pStyle w:val="2"/>
              <w:ind w:left="0" w:leftChars="0" w:firstLine="0" w:firstLineChars="0"/>
              <w:rPr>
                <w:rFonts w:hint="default"/>
                <w:lang w:val="en-US" w:eastAsia="zh-CN"/>
              </w:rPr>
            </w:pPr>
            <w:r>
              <w:rPr>
                <w:rFonts w:hint="eastAsia" w:ascii="Times New Roman" w:hAnsi="Times New Roman" w:eastAsia="仿宋_GB2312" w:cs="Times New Roman"/>
                <w:color w:val="000000" w:themeColor="text1"/>
                <w:kern w:val="0"/>
                <w:sz w:val="16"/>
                <w:szCs w:val="16"/>
                <w:highlight w:val="none"/>
                <w:lang w:val="en-US" w:eastAsia="zh-CN"/>
                <w14:textFill>
                  <w14:solidFill>
                    <w14:schemeClr w14:val="tx1"/>
                  </w14:solidFill>
                </w14:textFill>
              </w:rPr>
              <w:t>（必选）</w:t>
            </w:r>
          </w:p>
        </w:tc>
      </w:tr>
      <w:tr w14:paraId="5208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restart"/>
            <w:tcBorders>
              <w:left w:val="single" w:color="auto" w:sz="4" w:space="0"/>
              <w:right w:val="single" w:color="auto" w:sz="4" w:space="0"/>
            </w:tcBorders>
            <w:textDirection w:val="tbRlV"/>
            <w:vAlign w:val="center"/>
          </w:tcPr>
          <w:p w14:paraId="1AE584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201C6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291151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7B3D43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FB1E78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6CCF1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DE9BEC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821" w:type="dxa"/>
            <w:tcBorders>
              <w:top w:val="single" w:color="auto" w:sz="4" w:space="0"/>
              <w:left w:val="single" w:color="auto" w:sz="4" w:space="0"/>
              <w:right w:val="single" w:color="auto" w:sz="4" w:space="0"/>
            </w:tcBorders>
            <w:shd w:val="clear" w:color="auto" w:fill="auto"/>
            <w:vAlign w:val="center"/>
          </w:tcPr>
          <w:p w14:paraId="3F0F5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46DD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6819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07EB1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44DD2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3FDE88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79414E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C21D1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3DD49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821" w:type="dxa"/>
            <w:tcBorders>
              <w:top w:val="single" w:color="auto" w:sz="4" w:space="0"/>
              <w:left w:val="single" w:color="auto" w:sz="4" w:space="0"/>
              <w:right w:val="single" w:color="auto" w:sz="4" w:space="0"/>
            </w:tcBorders>
            <w:shd w:val="clear" w:color="auto" w:fill="auto"/>
            <w:vAlign w:val="center"/>
          </w:tcPr>
          <w:p w14:paraId="16339F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837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97F409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4EAF4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56F17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74BAB8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4A358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BD1B1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53BB7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821" w:type="dxa"/>
            <w:tcBorders>
              <w:left w:val="single" w:color="auto" w:sz="4" w:space="0"/>
              <w:right w:val="single" w:color="auto" w:sz="4" w:space="0"/>
            </w:tcBorders>
            <w:shd w:val="clear" w:color="auto" w:fill="auto"/>
            <w:vAlign w:val="center"/>
          </w:tcPr>
          <w:p w14:paraId="10E296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E865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315D6B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EF344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8E6A2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400852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7E563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B9F4E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A98DDB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821" w:type="dxa"/>
            <w:tcBorders>
              <w:left w:val="single" w:color="auto" w:sz="4" w:space="0"/>
              <w:right w:val="single" w:color="auto" w:sz="4" w:space="0"/>
            </w:tcBorders>
            <w:shd w:val="clear" w:color="auto" w:fill="auto"/>
            <w:vAlign w:val="center"/>
          </w:tcPr>
          <w:p w14:paraId="63A7D2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683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77651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97EF9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3374F9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77447B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6C62E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4BEE7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E40C1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冯剑琳</w:t>
            </w:r>
          </w:p>
        </w:tc>
        <w:tc>
          <w:tcPr>
            <w:tcW w:w="821" w:type="dxa"/>
            <w:tcBorders>
              <w:left w:val="single" w:color="auto" w:sz="4" w:space="0"/>
              <w:right w:val="single" w:color="auto" w:sz="4" w:space="0"/>
            </w:tcBorders>
            <w:shd w:val="clear" w:color="auto" w:fill="auto"/>
            <w:vAlign w:val="center"/>
          </w:tcPr>
          <w:p w14:paraId="719A57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E5C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5D01A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280C3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06949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1FACA8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7D09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52BD2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C16966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821" w:type="dxa"/>
            <w:tcBorders>
              <w:left w:val="single" w:color="auto" w:sz="4" w:space="0"/>
              <w:right w:val="single" w:color="auto" w:sz="4" w:space="0"/>
            </w:tcBorders>
            <w:shd w:val="clear" w:color="auto" w:fill="auto"/>
            <w:vAlign w:val="center"/>
          </w:tcPr>
          <w:p w14:paraId="63C0A1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97D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DD4A5F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7D7D6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101BA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287AA8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664571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2409E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3F891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821" w:type="dxa"/>
            <w:tcBorders>
              <w:left w:val="single" w:color="auto" w:sz="4" w:space="0"/>
              <w:right w:val="single" w:color="auto" w:sz="4" w:space="0"/>
            </w:tcBorders>
            <w:shd w:val="clear" w:color="auto" w:fill="auto"/>
            <w:vAlign w:val="center"/>
          </w:tcPr>
          <w:p w14:paraId="6E5C0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6C4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27DB4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18774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BAF1F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451C1B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272A5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967403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6FCA6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821" w:type="dxa"/>
            <w:tcBorders>
              <w:left w:val="single" w:color="auto" w:sz="4" w:space="0"/>
              <w:right w:val="single" w:color="auto" w:sz="4" w:space="0"/>
            </w:tcBorders>
            <w:shd w:val="clear" w:color="auto" w:fill="auto"/>
            <w:vAlign w:val="center"/>
          </w:tcPr>
          <w:p w14:paraId="1950E9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CD8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566B9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B645A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05EF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5F2E8C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5173F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EBC80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34E49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821" w:type="dxa"/>
            <w:tcBorders>
              <w:left w:val="single" w:color="auto" w:sz="4" w:space="0"/>
              <w:right w:val="single" w:color="auto" w:sz="4" w:space="0"/>
            </w:tcBorders>
            <w:shd w:val="clear" w:color="auto" w:fill="auto"/>
            <w:vAlign w:val="center"/>
          </w:tcPr>
          <w:p w14:paraId="62A5DA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166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73B861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80CEA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ADE7D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7E867B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FE07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510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3993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821" w:type="dxa"/>
            <w:tcBorders>
              <w:left w:val="single" w:color="auto" w:sz="4" w:space="0"/>
              <w:right w:val="single" w:color="auto" w:sz="4" w:space="0"/>
            </w:tcBorders>
            <w:shd w:val="clear" w:color="auto" w:fill="auto"/>
            <w:vAlign w:val="center"/>
          </w:tcPr>
          <w:p w14:paraId="45E52C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68B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E7A501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DC3D2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E6D59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4BDE85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65BFA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9092B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9C41D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821" w:type="dxa"/>
            <w:tcBorders>
              <w:left w:val="single" w:color="auto" w:sz="4" w:space="0"/>
              <w:right w:val="single" w:color="auto" w:sz="4" w:space="0"/>
            </w:tcBorders>
            <w:shd w:val="clear" w:color="auto" w:fill="auto"/>
            <w:vAlign w:val="center"/>
          </w:tcPr>
          <w:p w14:paraId="19AA9E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1C31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00E87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BC54D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89DBD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335B2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350C1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FE7F9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0BFE0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821" w:type="dxa"/>
            <w:tcBorders>
              <w:left w:val="single" w:color="auto" w:sz="4" w:space="0"/>
              <w:right w:val="single" w:color="auto" w:sz="4" w:space="0"/>
            </w:tcBorders>
            <w:shd w:val="clear" w:color="auto" w:fill="auto"/>
            <w:vAlign w:val="center"/>
          </w:tcPr>
          <w:p w14:paraId="05E07B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643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CCDA8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7019B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6D5C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79B2CC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70CF9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0F00E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6E6F6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821" w:type="dxa"/>
            <w:tcBorders>
              <w:left w:val="single" w:color="auto" w:sz="4" w:space="0"/>
              <w:right w:val="single" w:color="auto" w:sz="4" w:space="0"/>
            </w:tcBorders>
            <w:shd w:val="clear" w:color="auto" w:fill="auto"/>
            <w:vAlign w:val="center"/>
          </w:tcPr>
          <w:p w14:paraId="52CACC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825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3D3A2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166E3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2053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266D16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A3835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D16D1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20B19F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821" w:type="dxa"/>
            <w:tcBorders>
              <w:left w:val="single" w:color="auto" w:sz="4" w:space="0"/>
              <w:right w:val="single" w:color="auto" w:sz="4" w:space="0"/>
            </w:tcBorders>
            <w:shd w:val="clear" w:color="auto" w:fill="auto"/>
            <w:vAlign w:val="center"/>
          </w:tcPr>
          <w:p w14:paraId="22E028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401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8A736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63A41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A8E19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4E55FF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F6690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1741E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7ECFA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龚杰、李全忠、蔡穗华</w:t>
            </w:r>
          </w:p>
        </w:tc>
        <w:tc>
          <w:tcPr>
            <w:tcW w:w="821" w:type="dxa"/>
            <w:tcBorders>
              <w:left w:val="single" w:color="auto" w:sz="4" w:space="0"/>
              <w:right w:val="single" w:color="auto" w:sz="4" w:space="0"/>
            </w:tcBorders>
            <w:shd w:val="clear" w:color="auto" w:fill="auto"/>
            <w:vAlign w:val="center"/>
          </w:tcPr>
          <w:p w14:paraId="6B9750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D4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B9039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D3B1D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1E961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AB1D7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F7A14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983CC9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BB3153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821" w:type="dxa"/>
            <w:tcBorders>
              <w:left w:val="single" w:color="auto" w:sz="4" w:space="0"/>
              <w:right w:val="single" w:color="auto" w:sz="4" w:space="0"/>
            </w:tcBorders>
            <w:shd w:val="clear" w:color="auto" w:fill="auto"/>
            <w:vAlign w:val="center"/>
          </w:tcPr>
          <w:p w14:paraId="0C8823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B41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15BB2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93A83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EA82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66F4B49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5A0A27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032E9B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1B1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821" w:type="dxa"/>
            <w:tcBorders>
              <w:left w:val="single" w:color="auto" w:sz="4" w:space="0"/>
              <w:right w:val="single" w:color="auto" w:sz="4" w:space="0"/>
            </w:tcBorders>
            <w:shd w:val="clear" w:color="auto" w:fill="auto"/>
            <w:vAlign w:val="center"/>
          </w:tcPr>
          <w:p w14:paraId="2124CA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F251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F88722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68DC6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BC6E4F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2C6509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3D592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81BCE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278F5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谢逸</w:t>
            </w:r>
          </w:p>
        </w:tc>
        <w:tc>
          <w:tcPr>
            <w:tcW w:w="821" w:type="dxa"/>
            <w:tcBorders>
              <w:left w:val="single" w:color="auto" w:sz="4" w:space="0"/>
              <w:right w:val="single" w:color="auto" w:sz="4" w:space="0"/>
            </w:tcBorders>
            <w:shd w:val="clear" w:color="auto" w:fill="auto"/>
            <w:vAlign w:val="center"/>
          </w:tcPr>
          <w:p w14:paraId="0CD591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0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28530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3240B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045D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C4476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CA91B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042FE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67C86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潘嵘、王昌栋、梁上松</w:t>
            </w:r>
          </w:p>
        </w:tc>
        <w:tc>
          <w:tcPr>
            <w:tcW w:w="821" w:type="dxa"/>
            <w:tcBorders>
              <w:left w:val="single" w:color="auto" w:sz="4" w:space="0"/>
              <w:right w:val="single" w:color="auto" w:sz="4" w:space="0"/>
            </w:tcBorders>
            <w:shd w:val="clear" w:color="auto" w:fill="auto"/>
            <w:vAlign w:val="center"/>
          </w:tcPr>
          <w:p w14:paraId="4D6D9C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8BC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F719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4D278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FBB2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46F150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E5FBC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65508E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283AD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821" w:type="dxa"/>
            <w:tcBorders>
              <w:left w:val="single" w:color="auto" w:sz="4" w:space="0"/>
              <w:right w:val="single" w:color="auto" w:sz="4" w:space="0"/>
            </w:tcBorders>
            <w:shd w:val="clear" w:color="auto" w:fill="auto"/>
            <w:vAlign w:val="center"/>
          </w:tcPr>
          <w:p w14:paraId="0A41D6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AF6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0744D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76121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23D3A91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5F6ABEA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E1C9E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7C0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1452C4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821" w:type="dxa"/>
            <w:tcBorders>
              <w:left w:val="single" w:color="auto" w:sz="4" w:space="0"/>
              <w:right w:val="single" w:color="auto" w:sz="4" w:space="0"/>
            </w:tcBorders>
            <w:shd w:val="clear" w:color="auto" w:fill="auto"/>
            <w:vAlign w:val="center"/>
          </w:tcPr>
          <w:p w14:paraId="351C6B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9F45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3BE2E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65DF50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4DD5C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39672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FB95F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CDC8F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265AC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821" w:type="dxa"/>
            <w:tcBorders>
              <w:left w:val="single" w:color="auto" w:sz="4" w:space="0"/>
              <w:right w:val="single" w:color="auto" w:sz="4" w:space="0"/>
            </w:tcBorders>
            <w:shd w:val="clear" w:color="auto" w:fill="auto"/>
            <w:vAlign w:val="center"/>
          </w:tcPr>
          <w:p w14:paraId="68B111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0A0B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1467F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8A1BB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5A711F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575C06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8EBFD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80891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6A7B6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821" w:type="dxa"/>
            <w:tcBorders>
              <w:left w:val="single" w:color="auto" w:sz="4" w:space="0"/>
              <w:right w:val="single" w:color="auto" w:sz="4" w:space="0"/>
            </w:tcBorders>
            <w:shd w:val="clear" w:color="auto" w:fill="auto"/>
            <w:vAlign w:val="center"/>
          </w:tcPr>
          <w:p w14:paraId="736C36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B63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25FF4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0A33B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919ED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10B32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34967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6F185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1BD7C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821" w:type="dxa"/>
            <w:tcBorders>
              <w:left w:val="single" w:color="auto" w:sz="4" w:space="0"/>
              <w:right w:val="single" w:color="auto" w:sz="4" w:space="0"/>
            </w:tcBorders>
            <w:shd w:val="clear" w:color="auto" w:fill="auto"/>
            <w:vAlign w:val="center"/>
          </w:tcPr>
          <w:p w14:paraId="71478D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5D31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7FFD9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635BF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DCB7A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23608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C8D4C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5F551A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7276DE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权小军、潘嵘</w:t>
            </w:r>
          </w:p>
        </w:tc>
        <w:tc>
          <w:tcPr>
            <w:tcW w:w="821" w:type="dxa"/>
            <w:tcBorders>
              <w:left w:val="single" w:color="auto" w:sz="4" w:space="0"/>
              <w:right w:val="single" w:color="auto" w:sz="4" w:space="0"/>
            </w:tcBorders>
            <w:shd w:val="clear" w:color="auto" w:fill="auto"/>
            <w:vAlign w:val="center"/>
          </w:tcPr>
          <w:p w14:paraId="260BE9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ED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5188A9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68B81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3C769B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225A0FF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DE8DF4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A34E6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F6890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821" w:type="dxa"/>
            <w:tcBorders>
              <w:left w:val="single" w:color="auto" w:sz="4" w:space="0"/>
              <w:right w:val="single" w:color="auto" w:sz="4" w:space="0"/>
            </w:tcBorders>
            <w:shd w:val="clear" w:color="auto" w:fill="auto"/>
            <w:vAlign w:val="center"/>
          </w:tcPr>
          <w:p w14:paraId="1D74CA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9B7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3B7C35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1A038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37A392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745E8A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6F4F01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4DE02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09CAB0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821" w:type="dxa"/>
            <w:tcBorders>
              <w:left w:val="single" w:color="auto" w:sz="4" w:space="0"/>
              <w:right w:val="single" w:color="auto" w:sz="4" w:space="0"/>
            </w:tcBorders>
            <w:shd w:val="clear" w:color="auto" w:fill="auto"/>
            <w:vAlign w:val="center"/>
          </w:tcPr>
          <w:p w14:paraId="4931D7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505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09E02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FB05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947E0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1E6B53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5CEAD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73FDF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51249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821" w:type="dxa"/>
            <w:tcBorders>
              <w:left w:val="single" w:color="auto" w:sz="4" w:space="0"/>
              <w:right w:val="single" w:color="auto" w:sz="4" w:space="0"/>
            </w:tcBorders>
            <w:shd w:val="clear" w:color="auto" w:fill="auto"/>
            <w:vAlign w:val="center"/>
          </w:tcPr>
          <w:p w14:paraId="245D6C3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52D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2A2686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540763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325614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574347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60C6B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B140C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CFF3EC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821" w:type="dxa"/>
            <w:tcBorders>
              <w:left w:val="single" w:color="auto" w:sz="4" w:space="0"/>
              <w:right w:val="single" w:color="auto" w:sz="4" w:space="0"/>
            </w:tcBorders>
            <w:shd w:val="clear" w:color="auto" w:fill="auto"/>
            <w:vAlign w:val="center"/>
          </w:tcPr>
          <w:p w14:paraId="0143E3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07E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68B9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D76695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847FF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39DEB0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BAE424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F427B1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54FB0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821" w:type="dxa"/>
            <w:tcBorders>
              <w:left w:val="single" w:color="auto" w:sz="4" w:space="0"/>
              <w:right w:val="single" w:color="auto" w:sz="4" w:space="0"/>
            </w:tcBorders>
            <w:shd w:val="clear" w:color="auto" w:fill="auto"/>
            <w:vAlign w:val="center"/>
          </w:tcPr>
          <w:p w14:paraId="3139E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661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02311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2BC3CEB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4ECDAB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133699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2BA91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8ADEF2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15930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821" w:type="dxa"/>
            <w:tcBorders>
              <w:left w:val="single" w:color="auto" w:sz="4" w:space="0"/>
              <w:right w:val="single" w:color="auto" w:sz="4" w:space="0"/>
            </w:tcBorders>
            <w:shd w:val="clear" w:color="auto" w:fill="auto"/>
            <w:vAlign w:val="center"/>
          </w:tcPr>
          <w:p w14:paraId="27A6C8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D72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7AD48C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065C27C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E52096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50418F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3CD155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1204AF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61364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821" w:type="dxa"/>
            <w:tcBorders>
              <w:left w:val="single" w:color="auto" w:sz="4" w:space="0"/>
              <w:right w:val="single" w:color="auto" w:sz="4" w:space="0"/>
            </w:tcBorders>
            <w:shd w:val="clear" w:color="auto" w:fill="auto"/>
            <w:vAlign w:val="center"/>
          </w:tcPr>
          <w:p w14:paraId="4E902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680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432AC39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7ECB7C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198944B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3AB76A8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D254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EA8E1F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4463587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821" w:type="dxa"/>
            <w:tcBorders>
              <w:left w:val="single" w:color="auto" w:sz="4" w:space="0"/>
              <w:right w:val="single" w:color="auto" w:sz="4" w:space="0"/>
            </w:tcBorders>
            <w:shd w:val="clear" w:color="auto" w:fill="auto"/>
            <w:vAlign w:val="center"/>
          </w:tcPr>
          <w:p w14:paraId="6B9367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45A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4D5623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D9184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647CE2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065E6B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8A915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E7402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E0148D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821" w:type="dxa"/>
            <w:tcBorders>
              <w:left w:val="single" w:color="auto" w:sz="4" w:space="0"/>
              <w:right w:val="single" w:color="auto" w:sz="4" w:space="0"/>
            </w:tcBorders>
            <w:shd w:val="clear" w:color="auto" w:fill="auto"/>
            <w:vAlign w:val="center"/>
          </w:tcPr>
          <w:p w14:paraId="7DCDCBB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D2A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7A949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C48458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E319F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7C4C6AF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944FE1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053051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5017F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821" w:type="dxa"/>
            <w:tcBorders>
              <w:left w:val="single" w:color="auto" w:sz="4" w:space="0"/>
              <w:right w:val="single" w:color="auto" w:sz="4" w:space="0"/>
            </w:tcBorders>
            <w:shd w:val="clear" w:color="auto" w:fill="auto"/>
            <w:vAlign w:val="center"/>
          </w:tcPr>
          <w:p w14:paraId="1FBBF4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58C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1B73BF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1E3B188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BF85A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168A0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49D92C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209133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37073F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w:t>
            </w:r>
          </w:p>
        </w:tc>
        <w:tc>
          <w:tcPr>
            <w:tcW w:w="821" w:type="dxa"/>
            <w:tcBorders>
              <w:left w:val="single" w:color="auto" w:sz="4" w:space="0"/>
              <w:right w:val="single" w:color="auto" w:sz="4" w:space="0"/>
            </w:tcBorders>
            <w:shd w:val="clear" w:color="auto" w:fill="auto"/>
            <w:vAlign w:val="center"/>
          </w:tcPr>
          <w:p w14:paraId="47FBE3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A175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0BAA45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498CF585">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0CC9DDA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0C91864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0E18849">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6CEFC81F">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821" w:type="dxa"/>
            <w:tcBorders>
              <w:left w:val="single" w:color="auto" w:sz="4" w:space="0"/>
              <w:right w:val="single" w:color="auto" w:sz="4" w:space="0"/>
            </w:tcBorders>
            <w:shd w:val="clear" w:color="auto" w:fill="auto"/>
            <w:vAlign w:val="center"/>
          </w:tcPr>
          <w:p w14:paraId="74DEE4E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324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307" w:type="dxa"/>
            <w:gridSpan w:val="2"/>
            <w:vMerge w:val="continue"/>
            <w:tcBorders>
              <w:left w:val="single" w:color="auto" w:sz="4" w:space="0"/>
              <w:right w:val="single" w:color="auto" w:sz="4" w:space="0"/>
            </w:tcBorders>
            <w:textDirection w:val="tbRlV"/>
            <w:vAlign w:val="center"/>
          </w:tcPr>
          <w:p w14:paraId="6BA4845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14:paraId="3E2369D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DCS5719</w:t>
            </w:r>
          </w:p>
        </w:tc>
        <w:tc>
          <w:tcPr>
            <w:tcW w:w="3696" w:type="dxa"/>
            <w:tcBorders>
              <w:top w:val="single" w:color="auto" w:sz="4" w:space="0"/>
              <w:left w:val="single" w:color="auto" w:sz="4" w:space="0"/>
              <w:bottom w:val="single" w:color="auto" w:sz="4" w:space="0"/>
              <w:right w:val="single" w:color="auto" w:sz="4" w:space="0"/>
            </w:tcBorders>
            <w:shd w:val="clear" w:color="auto" w:fill="auto"/>
            <w:vAlign w:val="center"/>
          </w:tcPr>
          <w:p w14:paraId="70FA8D53">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生成式人工智能</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Generative AI</w:t>
            </w:r>
          </w:p>
        </w:tc>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221580C">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8628DC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35" w:type="dxa"/>
            <w:tcBorders>
              <w:top w:val="single" w:color="auto" w:sz="4" w:space="0"/>
              <w:left w:val="single" w:color="auto" w:sz="4" w:space="0"/>
              <w:bottom w:val="single" w:color="auto" w:sz="4" w:space="0"/>
              <w:right w:val="single" w:color="auto" w:sz="4" w:space="0"/>
            </w:tcBorders>
            <w:shd w:val="clear" w:color="auto" w:fill="auto"/>
            <w:vAlign w:val="center"/>
          </w:tcPr>
          <w:p w14:paraId="11D839C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王广润、林倞、魏朋旭</w:t>
            </w:r>
          </w:p>
        </w:tc>
        <w:tc>
          <w:tcPr>
            <w:tcW w:w="821" w:type="dxa"/>
            <w:tcBorders>
              <w:left w:val="single" w:color="auto" w:sz="4" w:space="0"/>
              <w:right w:val="single" w:color="auto" w:sz="4" w:space="0"/>
            </w:tcBorders>
            <w:shd w:val="clear" w:color="auto" w:fill="auto"/>
            <w:vAlign w:val="center"/>
          </w:tcPr>
          <w:p w14:paraId="7DFA3A0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12467C40">
      <w:pPr>
        <w:pStyle w:val="2"/>
        <w:ind w:left="0" w:leftChars="0" w:firstLine="0" w:firstLineChars="0"/>
        <w:rPr>
          <w:rFonts w:hint="default"/>
        </w:rPr>
      </w:pPr>
    </w:p>
    <w:p w14:paraId="6DCC2189">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培养环节与要求</w:t>
      </w:r>
    </w:p>
    <w:p w14:paraId="731B234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按中山大学《学位与研究生教育工作手册》、《中山大学研究生培养方案的规定》和《中山大学博士研究生培养规定》等有关规定，电子信息工程博士专业学位研究生（不含硕博连读、直博生）依照下表所列环节和要求开展培养。</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0" w:type="dxa"/>
          <w:bottom w:w="0" w:type="dxa"/>
          <w:right w:w="0" w:type="dxa"/>
        </w:tblCellMar>
      </w:tblPr>
      <w:tblGrid>
        <w:gridCol w:w="1560"/>
        <w:gridCol w:w="1852"/>
        <w:gridCol w:w="3959"/>
        <w:gridCol w:w="1843"/>
      </w:tblGrid>
      <w:tr w14:paraId="3183C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jc w:val="center"/>
        </w:trPr>
        <w:tc>
          <w:tcPr>
            <w:tcW w:w="1560" w:type="dxa"/>
            <w:shd w:val="clear" w:color="auto" w:fill="FFFFFF"/>
            <w:vAlign w:val="center"/>
          </w:tcPr>
          <w:p w14:paraId="2A63A299">
            <w:pPr>
              <w:pStyle w:val="15"/>
              <w:ind w:left="108" w:right="100"/>
              <w:jc w:val="center"/>
              <w:rPr>
                <w:rFonts w:eastAsia="仿宋"/>
                <w:b/>
                <w:color w:val="auto"/>
                <w:sz w:val="20"/>
                <w:highlight w:val="none"/>
              </w:rPr>
            </w:pPr>
            <w:r>
              <w:rPr>
                <w:rFonts w:eastAsia="仿宋"/>
                <w:b/>
                <w:color w:val="auto"/>
                <w:sz w:val="20"/>
                <w:highlight w:val="none"/>
              </w:rPr>
              <w:t>时间表</w:t>
            </w:r>
          </w:p>
        </w:tc>
        <w:tc>
          <w:tcPr>
            <w:tcW w:w="1852" w:type="dxa"/>
            <w:shd w:val="clear" w:color="auto" w:fill="FFFFFF"/>
            <w:vAlign w:val="center"/>
          </w:tcPr>
          <w:p w14:paraId="66F38FFF">
            <w:pPr>
              <w:pStyle w:val="15"/>
              <w:ind w:right="986"/>
              <w:jc w:val="center"/>
              <w:rPr>
                <w:rFonts w:eastAsia="仿宋"/>
                <w:b/>
                <w:color w:val="auto"/>
                <w:sz w:val="20"/>
                <w:highlight w:val="none"/>
              </w:rPr>
            </w:pPr>
            <w:r>
              <w:rPr>
                <w:rFonts w:hint="eastAsia" w:eastAsia="仿宋"/>
                <w:b/>
                <w:color w:val="auto"/>
                <w:sz w:val="20"/>
                <w:highlight w:val="none"/>
              </w:rPr>
              <w:t>培养内容</w:t>
            </w:r>
          </w:p>
        </w:tc>
        <w:tc>
          <w:tcPr>
            <w:tcW w:w="3959" w:type="dxa"/>
            <w:shd w:val="clear" w:color="auto" w:fill="FFFFFF"/>
            <w:vAlign w:val="center"/>
          </w:tcPr>
          <w:p w14:paraId="6E9D5D11">
            <w:pPr>
              <w:pStyle w:val="15"/>
              <w:ind w:left="994" w:right="986"/>
              <w:jc w:val="center"/>
              <w:rPr>
                <w:rFonts w:eastAsia="仿宋"/>
                <w:b/>
                <w:color w:val="auto"/>
                <w:sz w:val="20"/>
                <w:highlight w:val="none"/>
              </w:rPr>
            </w:pPr>
            <w:r>
              <w:rPr>
                <w:rFonts w:eastAsia="仿宋"/>
                <w:b/>
                <w:color w:val="auto"/>
                <w:sz w:val="20"/>
                <w:highlight w:val="none"/>
              </w:rPr>
              <w:t>考核方式</w:t>
            </w:r>
          </w:p>
        </w:tc>
        <w:tc>
          <w:tcPr>
            <w:tcW w:w="1843" w:type="dxa"/>
            <w:shd w:val="clear" w:color="auto" w:fill="FFFFFF"/>
            <w:vAlign w:val="center"/>
          </w:tcPr>
          <w:p w14:paraId="12D5BE08">
            <w:pPr>
              <w:pStyle w:val="15"/>
              <w:ind w:left="559"/>
              <w:jc w:val="center"/>
              <w:rPr>
                <w:rFonts w:eastAsia="仿宋"/>
                <w:b/>
                <w:color w:val="auto"/>
                <w:sz w:val="20"/>
                <w:highlight w:val="none"/>
              </w:rPr>
            </w:pPr>
            <w:r>
              <w:rPr>
                <w:rFonts w:eastAsia="仿宋"/>
                <w:b/>
                <w:color w:val="auto"/>
                <w:sz w:val="20"/>
                <w:highlight w:val="none"/>
              </w:rPr>
              <w:t>负责人</w:t>
            </w:r>
          </w:p>
        </w:tc>
      </w:tr>
      <w:tr w14:paraId="7B749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jc w:val="center"/>
        </w:trPr>
        <w:tc>
          <w:tcPr>
            <w:tcW w:w="1560" w:type="dxa"/>
            <w:shd w:val="clear" w:color="auto" w:fill="FFFFFF"/>
            <w:vAlign w:val="center"/>
          </w:tcPr>
          <w:p w14:paraId="76B9A9ED">
            <w:pPr>
              <w:pStyle w:val="15"/>
              <w:ind w:left="107"/>
              <w:jc w:val="center"/>
              <w:rPr>
                <w:rFonts w:eastAsia="仿宋"/>
                <w:color w:val="auto"/>
                <w:sz w:val="20"/>
                <w:highlight w:val="none"/>
                <w:lang w:val="en-US"/>
              </w:rPr>
            </w:pPr>
            <w:r>
              <w:rPr>
                <w:rFonts w:eastAsia="仿宋"/>
                <w:color w:val="auto"/>
                <w:sz w:val="20"/>
                <w:highlight w:val="none"/>
                <w:lang w:val="en-US"/>
              </w:rPr>
              <w:t>第 1-4 学期</w:t>
            </w:r>
          </w:p>
        </w:tc>
        <w:tc>
          <w:tcPr>
            <w:tcW w:w="1852" w:type="dxa"/>
            <w:shd w:val="clear" w:color="auto" w:fill="FFFFFF"/>
            <w:vAlign w:val="center"/>
          </w:tcPr>
          <w:p w14:paraId="6CF6CA98">
            <w:pPr>
              <w:pStyle w:val="15"/>
              <w:ind w:left="107"/>
              <w:jc w:val="center"/>
              <w:rPr>
                <w:rFonts w:eastAsia="仿宋"/>
                <w:color w:val="auto"/>
                <w:sz w:val="20"/>
                <w:highlight w:val="none"/>
                <w:lang w:val="en-US"/>
              </w:rPr>
            </w:pPr>
            <w:r>
              <w:rPr>
                <w:rFonts w:eastAsia="仿宋"/>
                <w:color w:val="auto"/>
                <w:sz w:val="20"/>
                <w:highlight w:val="none"/>
                <w:lang w:val="en-US"/>
              </w:rPr>
              <w:t>专业课程学习</w:t>
            </w:r>
          </w:p>
        </w:tc>
        <w:tc>
          <w:tcPr>
            <w:tcW w:w="3959" w:type="dxa"/>
            <w:shd w:val="clear" w:color="auto" w:fill="FFFFFF"/>
            <w:vAlign w:val="center"/>
          </w:tcPr>
          <w:p w14:paraId="51F467FC">
            <w:pPr>
              <w:pStyle w:val="15"/>
              <w:ind w:left="107"/>
              <w:jc w:val="center"/>
              <w:rPr>
                <w:rFonts w:eastAsia="仿宋"/>
                <w:color w:val="auto"/>
                <w:sz w:val="20"/>
                <w:highlight w:val="none"/>
                <w:lang w:val="en-US"/>
              </w:rPr>
            </w:pPr>
            <w:r>
              <w:rPr>
                <w:rFonts w:eastAsia="仿宋"/>
                <w:color w:val="auto"/>
                <w:sz w:val="20"/>
                <w:highlight w:val="none"/>
                <w:lang w:val="en-US"/>
              </w:rPr>
              <w:t>考试或考查（提交课程报告）</w:t>
            </w:r>
          </w:p>
        </w:tc>
        <w:tc>
          <w:tcPr>
            <w:tcW w:w="1843" w:type="dxa"/>
            <w:shd w:val="clear" w:color="auto" w:fill="FFFFFF"/>
            <w:vAlign w:val="center"/>
          </w:tcPr>
          <w:p w14:paraId="311B179D">
            <w:pPr>
              <w:pStyle w:val="15"/>
              <w:ind w:left="107"/>
              <w:jc w:val="center"/>
              <w:rPr>
                <w:rFonts w:eastAsia="仿宋"/>
                <w:color w:val="auto"/>
                <w:sz w:val="20"/>
                <w:highlight w:val="none"/>
                <w:lang w:val="en-US"/>
              </w:rPr>
            </w:pPr>
            <w:r>
              <w:rPr>
                <w:rFonts w:eastAsia="仿宋"/>
                <w:color w:val="auto"/>
                <w:sz w:val="20"/>
                <w:highlight w:val="none"/>
                <w:lang w:val="en-US"/>
              </w:rPr>
              <w:t>各任课教师</w:t>
            </w:r>
          </w:p>
        </w:tc>
      </w:tr>
      <w:tr w14:paraId="1E71E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2A8B5903">
            <w:pPr>
              <w:pStyle w:val="15"/>
              <w:ind w:left="107"/>
              <w:jc w:val="center"/>
              <w:rPr>
                <w:rFonts w:eastAsia="仿宋"/>
                <w:color w:val="auto"/>
                <w:sz w:val="20"/>
                <w:highlight w:val="none"/>
                <w:lang w:val="en-US"/>
              </w:rPr>
            </w:pPr>
            <w:r>
              <w:rPr>
                <w:rFonts w:eastAsia="仿宋"/>
                <w:color w:val="auto"/>
                <w:sz w:val="20"/>
                <w:highlight w:val="none"/>
                <w:lang w:val="en-US"/>
              </w:rPr>
              <w:t>第 1-2 学期</w:t>
            </w:r>
          </w:p>
        </w:tc>
        <w:tc>
          <w:tcPr>
            <w:tcW w:w="1852" w:type="dxa"/>
            <w:shd w:val="clear" w:color="auto" w:fill="FFFFFF"/>
            <w:vAlign w:val="center"/>
          </w:tcPr>
          <w:p w14:paraId="687F6582">
            <w:pPr>
              <w:pStyle w:val="15"/>
              <w:ind w:left="107"/>
              <w:jc w:val="center"/>
              <w:rPr>
                <w:rFonts w:eastAsia="仿宋"/>
                <w:color w:val="auto"/>
                <w:sz w:val="20"/>
                <w:highlight w:val="none"/>
                <w:lang w:val="en-US"/>
              </w:rPr>
            </w:pPr>
            <w:r>
              <w:rPr>
                <w:rFonts w:eastAsia="仿宋"/>
                <w:color w:val="auto"/>
                <w:sz w:val="20"/>
                <w:highlight w:val="none"/>
                <w:lang w:val="en-US"/>
              </w:rPr>
              <w:t>直博考察期</w:t>
            </w:r>
          </w:p>
        </w:tc>
        <w:tc>
          <w:tcPr>
            <w:tcW w:w="3959" w:type="dxa"/>
            <w:shd w:val="clear" w:color="auto" w:fill="FFFFFF"/>
            <w:vAlign w:val="center"/>
          </w:tcPr>
          <w:p w14:paraId="33090E36">
            <w:pPr>
              <w:pStyle w:val="15"/>
              <w:ind w:left="107"/>
              <w:jc w:val="center"/>
              <w:rPr>
                <w:rFonts w:eastAsia="仿宋"/>
                <w:color w:val="auto"/>
                <w:sz w:val="20"/>
                <w:highlight w:val="none"/>
                <w:lang w:val="en-US"/>
              </w:rPr>
            </w:pPr>
            <w:r>
              <w:rPr>
                <w:rFonts w:eastAsia="仿宋"/>
                <w:color w:val="auto"/>
                <w:sz w:val="20"/>
                <w:highlight w:val="none"/>
                <w:lang w:val="en-US"/>
              </w:rPr>
              <w:t>对研究生的素质、能力进行全面考察</w:t>
            </w:r>
          </w:p>
        </w:tc>
        <w:tc>
          <w:tcPr>
            <w:tcW w:w="1843" w:type="dxa"/>
            <w:shd w:val="clear" w:color="auto" w:fill="FFFFFF"/>
            <w:vAlign w:val="center"/>
          </w:tcPr>
          <w:p w14:paraId="09ACA0DB">
            <w:pPr>
              <w:pStyle w:val="15"/>
              <w:ind w:left="107"/>
              <w:jc w:val="center"/>
              <w:rPr>
                <w:rFonts w:eastAsia="仿宋"/>
                <w:color w:val="auto"/>
                <w:sz w:val="20"/>
                <w:highlight w:val="none"/>
                <w:lang w:val="en-US"/>
              </w:rPr>
            </w:pPr>
            <w:r>
              <w:rPr>
                <w:rFonts w:eastAsia="仿宋"/>
                <w:color w:val="auto"/>
                <w:sz w:val="20"/>
                <w:highlight w:val="none"/>
                <w:lang w:val="en-US"/>
              </w:rPr>
              <w:t>导师</w:t>
            </w:r>
          </w:p>
        </w:tc>
      </w:tr>
      <w:tr w14:paraId="55841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6F26DBC6">
            <w:pPr>
              <w:pStyle w:val="15"/>
              <w:ind w:left="107"/>
              <w:jc w:val="center"/>
              <w:rPr>
                <w:rFonts w:eastAsia="仿宋"/>
                <w:color w:val="auto"/>
                <w:sz w:val="20"/>
                <w:highlight w:val="none"/>
                <w:lang w:val="en-US"/>
              </w:rPr>
            </w:pPr>
            <w:r>
              <w:rPr>
                <w:rFonts w:eastAsia="仿宋"/>
                <w:color w:val="auto"/>
                <w:sz w:val="20"/>
                <w:highlight w:val="none"/>
                <w:lang w:val="en-US"/>
              </w:rPr>
              <w:t>第 5 学期</w:t>
            </w:r>
          </w:p>
        </w:tc>
        <w:tc>
          <w:tcPr>
            <w:tcW w:w="1852" w:type="dxa"/>
            <w:shd w:val="clear" w:color="auto" w:fill="FFFFFF"/>
            <w:vAlign w:val="center"/>
          </w:tcPr>
          <w:p w14:paraId="4297D8A0">
            <w:pPr>
              <w:pStyle w:val="15"/>
              <w:ind w:left="107"/>
              <w:jc w:val="center"/>
              <w:rPr>
                <w:rFonts w:eastAsia="仿宋"/>
                <w:color w:val="auto"/>
                <w:sz w:val="20"/>
                <w:highlight w:val="none"/>
                <w:lang w:val="en-US"/>
              </w:rPr>
            </w:pPr>
            <w:r>
              <w:rPr>
                <w:rFonts w:hint="eastAsia" w:eastAsia="仿宋"/>
                <w:color w:val="auto"/>
                <w:sz w:val="20"/>
                <w:highlight w:val="none"/>
                <w:lang w:val="en-US"/>
              </w:rPr>
              <w:t>开题报告</w:t>
            </w:r>
          </w:p>
        </w:tc>
        <w:tc>
          <w:tcPr>
            <w:tcW w:w="3959" w:type="dxa"/>
            <w:shd w:val="clear" w:color="auto" w:fill="FFFFFF"/>
            <w:vAlign w:val="center"/>
          </w:tcPr>
          <w:p w14:paraId="2A8A35A0">
            <w:pPr>
              <w:pStyle w:val="15"/>
              <w:ind w:left="107"/>
              <w:jc w:val="center"/>
              <w:rPr>
                <w:rFonts w:eastAsia="仿宋"/>
                <w:color w:val="auto"/>
                <w:sz w:val="20"/>
                <w:highlight w:val="none"/>
                <w:lang w:val="en-US"/>
              </w:rPr>
            </w:pPr>
            <w:r>
              <w:rPr>
                <w:rFonts w:hint="eastAsia" w:eastAsia="仿宋"/>
                <w:color w:val="auto"/>
                <w:sz w:val="20"/>
                <w:highlight w:val="none"/>
                <w:lang w:val="en-US"/>
              </w:rPr>
              <w:t>公开答辩</w:t>
            </w:r>
          </w:p>
        </w:tc>
        <w:tc>
          <w:tcPr>
            <w:tcW w:w="1843" w:type="dxa"/>
            <w:shd w:val="clear" w:color="auto" w:fill="FFFFFF"/>
            <w:vAlign w:val="center"/>
          </w:tcPr>
          <w:p w14:paraId="1AD96971">
            <w:pPr>
              <w:pStyle w:val="15"/>
              <w:ind w:left="107"/>
              <w:jc w:val="center"/>
              <w:rPr>
                <w:rFonts w:eastAsia="仿宋"/>
                <w:color w:val="auto"/>
                <w:sz w:val="20"/>
                <w:highlight w:val="none"/>
                <w:lang w:val="en-US"/>
              </w:rPr>
            </w:pPr>
            <w:r>
              <w:rPr>
                <w:rFonts w:hint="eastAsia" w:eastAsia="仿宋"/>
                <w:color w:val="auto"/>
                <w:sz w:val="20"/>
                <w:highlight w:val="none"/>
                <w:lang w:val="en-US"/>
              </w:rPr>
              <w:t>党委审查小组</w:t>
            </w:r>
          </w:p>
        </w:tc>
      </w:tr>
      <w:tr w14:paraId="675649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jc w:val="center"/>
        </w:trPr>
        <w:tc>
          <w:tcPr>
            <w:tcW w:w="1560" w:type="dxa"/>
            <w:shd w:val="clear" w:color="auto" w:fill="FFFFFF"/>
            <w:vAlign w:val="center"/>
          </w:tcPr>
          <w:p w14:paraId="639E2D70">
            <w:pPr>
              <w:pStyle w:val="15"/>
              <w:ind w:left="107"/>
              <w:jc w:val="center"/>
              <w:rPr>
                <w:rFonts w:eastAsia="仿宋"/>
                <w:color w:val="auto"/>
                <w:sz w:val="20"/>
                <w:highlight w:val="none"/>
                <w:lang w:val="en-US"/>
              </w:rPr>
            </w:pPr>
            <w:r>
              <w:rPr>
                <w:rFonts w:eastAsia="仿宋"/>
                <w:color w:val="auto"/>
                <w:sz w:val="20"/>
                <w:highlight w:val="none"/>
                <w:lang w:val="en-US"/>
              </w:rPr>
              <w:t xml:space="preserve">第 </w:t>
            </w:r>
            <w:r>
              <w:rPr>
                <w:rFonts w:hint="eastAsia" w:eastAsia="仿宋"/>
                <w:color w:val="auto"/>
                <w:sz w:val="20"/>
                <w:highlight w:val="none"/>
                <w:lang w:val="en-US"/>
              </w:rPr>
              <w:t>6</w:t>
            </w:r>
            <w:r>
              <w:rPr>
                <w:rFonts w:eastAsia="仿宋"/>
                <w:color w:val="auto"/>
                <w:sz w:val="20"/>
                <w:highlight w:val="none"/>
                <w:lang w:val="en-US"/>
              </w:rPr>
              <w:t xml:space="preserve"> 学期</w:t>
            </w:r>
          </w:p>
        </w:tc>
        <w:tc>
          <w:tcPr>
            <w:tcW w:w="1852" w:type="dxa"/>
            <w:shd w:val="clear" w:color="auto" w:fill="FFFFFF"/>
            <w:vAlign w:val="center"/>
          </w:tcPr>
          <w:p w14:paraId="7FB34651">
            <w:pPr>
              <w:pStyle w:val="15"/>
              <w:ind w:left="107"/>
              <w:jc w:val="center"/>
              <w:rPr>
                <w:rFonts w:eastAsia="仿宋"/>
                <w:color w:val="auto"/>
                <w:sz w:val="20"/>
                <w:highlight w:val="none"/>
                <w:lang w:val="en-US"/>
              </w:rPr>
            </w:pPr>
            <w:r>
              <w:rPr>
                <w:rFonts w:hint="eastAsia" w:eastAsia="仿宋"/>
                <w:color w:val="auto"/>
                <w:sz w:val="20"/>
                <w:highlight w:val="none"/>
                <w:lang w:val="en-US"/>
              </w:rPr>
              <w:t>中期考核</w:t>
            </w:r>
          </w:p>
        </w:tc>
        <w:tc>
          <w:tcPr>
            <w:tcW w:w="3959" w:type="dxa"/>
            <w:shd w:val="clear" w:color="auto" w:fill="FFFFFF"/>
            <w:vAlign w:val="center"/>
          </w:tcPr>
          <w:p w14:paraId="61E8E06E">
            <w:pPr>
              <w:pStyle w:val="15"/>
              <w:ind w:left="107"/>
              <w:jc w:val="center"/>
              <w:rPr>
                <w:rFonts w:eastAsia="仿宋"/>
                <w:color w:val="auto"/>
                <w:sz w:val="20"/>
                <w:highlight w:val="none"/>
                <w:lang w:val="en-US"/>
              </w:rPr>
            </w:pPr>
            <w:r>
              <w:rPr>
                <w:rFonts w:hint="eastAsia" w:eastAsia="仿宋"/>
                <w:color w:val="auto"/>
                <w:sz w:val="20"/>
                <w:highlight w:val="none"/>
                <w:lang w:val="en-US"/>
              </w:rPr>
              <w:t>公开答辩</w:t>
            </w:r>
          </w:p>
        </w:tc>
        <w:tc>
          <w:tcPr>
            <w:tcW w:w="1843" w:type="dxa"/>
            <w:shd w:val="clear" w:color="auto" w:fill="FFFFFF"/>
            <w:vAlign w:val="center"/>
          </w:tcPr>
          <w:p w14:paraId="5E04E554">
            <w:pPr>
              <w:pStyle w:val="15"/>
              <w:ind w:left="107"/>
              <w:jc w:val="center"/>
              <w:rPr>
                <w:rFonts w:eastAsia="仿宋"/>
                <w:color w:val="auto"/>
                <w:sz w:val="20"/>
                <w:highlight w:val="none"/>
                <w:lang w:val="en-US"/>
              </w:rPr>
            </w:pPr>
            <w:r>
              <w:rPr>
                <w:rFonts w:hint="eastAsia" w:eastAsia="仿宋"/>
                <w:color w:val="auto"/>
                <w:sz w:val="20"/>
                <w:highlight w:val="none"/>
                <w:lang w:val="en-US"/>
              </w:rPr>
              <w:t>中期考核工作</w:t>
            </w:r>
          </w:p>
          <w:p w14:paraId="2BC73106">
            <w:pPr>
              <w:pStyle w:val="15"/>
              <w:ind w:left="107"/>
              <w:jc w:val="center"/>
              <w:rPr>
                <w:rFonts w:eastAsia="仿宋"/>
                <w:color w:val="auto"/>
                <w:sz w:val="20"/>
                <w:highlight w:val="none"/>
                <w:lang w:val="en-US"/>
              </w:rPr>
            </w:pPr>
            <w:r>
              <w:rPr>
                <w:rFonts w:hint="eastAsia" w:eastAsia="仿宋"/>
                <w:color w:val="auto"/>
                <w:sz w:val="20"/>
                <w:highlight w:val="none"/>
                <w:lang w:val="en-US"/>
              </w:rPr>
              <w:t>领导小组</w:t>
            </w:r>
          </w:p>
        </w:tc>
      </w:tr>
      <w:tr w14:paraId="5B3BA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AF0CF59">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693F44E2">
            <w:pPr>
              <w:pStyle w:val="15"/>
              <w:ind w:left="107"/>
              <w:jc w:val="center"/>
              <w:rPr>
                <w:rFonts w:eastAsia="仿宋"/>
                <w:color w:val="auto"/>
                <w:sz w:val="20"/>
                <w:highlight w:val="none"/>
                <w:lang w:val="en-US"/>
              </w:rPr>
            </w:pPr>
            <w:r>
              <w:rPr>
                <w:rFonts w:eastAsia="仿宋"/>
                <w:color w:val="auto"/>
                <w:sz w:val="20"/>
                <w:highlight w:val="none"/>
                <w:lang w:val="en-US"/>
              </w:rPr>
              <w:t>论文工作检查</w:t>
            </w:r>
          </w:p>
        </w:tc>
        <w:tc>
          <w:tcPr>
            <w:tcW w:w="3959" w:type="dxa"/>
            <w:shd w:val="clear" w:color="auto" w:fill="FFFFFF"/>
            <w:vAlign w:val="center"/>
          </w:tcPr>
          <w:p w14:paraId="10CE0802">
            <w:pPr>
              <w:pStyle w:val="15"/>
              <w:ind w:left="107"/>
              <w:jc w:val="center"/>
              <w:rPr>
                <w:rFonts w:eastAsia="仿宋"/>
                <w:color w:val="auto"/>
                <w:sz w:val="20"/>
                <w:highlight w:val="none"/>
                <w:lang w:val="en-US"/>
              </w:rPr>
            </w:pPr>
            <w:r>
              <w:rPr>
                <w:rFonts w:eastAsia="仿宋"/>
                <w:color w:val="auto"/>
                <w:sz w:val="20"/>
                <w:highlight w:val="none"/>
                <w:lang w:val="en-US"/>
              </w:rPr>
              <w:t>提交论文初稿及成果清单</w:t>
            </w:r>
          </w:p>
        </w:tc>
        <w:tc>
          <w:tcPr>
            <w:tcW w:w="1843" w:type="dxa"/>
            <w:shd w:val="clear" w:color="auto" w:fill="FFFFFF"/>
            <w:vAlign w:val="center"/>
          </w:tcPr>
          <w:p w14:paraId="0BF2A76A">
            <w:pPr>
              <w:pStyle w:val="15"/>
              <w:ind w:left="107"/>
              <w:jc w:val="center"/>
              <w:rPr>
                <w:rFonts w:eastAsia="仿宋"/>
                <w:color w:val="auto"/>
                <w:sz w:val="20"/>
                <w:highlight w:val="none"/>
                <w:lang w:val="en-US"/>
              </w:rPr>
            </w:pPr>
            <w:r>
              <w:rPr>
                <w:rFonts w:hint="eastAsia" w:eastAsia="仿宋"/>
                <w:color w:val="auto"/>
                <w:sz w:val="20"/>
                <w:highlight w:val="none"/>
                <w:lang w:val="en-US"/>
              </w:rPr>
              <w:t>专委会</w:t>
            </w:r>
          </w:p>
        </w:tc>
      </w:tr>
      <w:tr w14:paraId="48578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61D0A1A">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091390D9">
            <w:pPr>
              <w:pStyle w:val="15"/>
              <w:ind w:left="107"/>
              <w:jc w:val="center"/>
              <w:rPr>
                <w:rFonts w:eastAsia="仿宋"/>
                <w:color w:val="auto"/>
                <w:sz w:val="20"/>
                <w:highlight w:val="none"/>
                <w:lang w:val="en-US"/>
              </w:rPr>
            </w:pPr>
            <w:r>
              <w:rPr>
                <w:rFonts w:eastAsia="仿宋"/>
                <w:color w:val="auto"/>
                <w:sz w:val="20"/>
                <w:highlight w:val="none"/>
                <w:lang w:val="en-US"/>
              </w:rPr>
              <w:t>预答辩</w:t>
            </w:r>
          </w:p>
        </w:tc>
        <w:tc>
          <w:tcPr>
            <w:tcW w:w="3959" w:type="dxa"/>
            <w:shd w:val="clear" w:color="auto" w:fill="FFFFFF"/>
            <w:vAlign w:val="center"/>
          </w:tcPr>
          <w:p w14:paraId="5ED699A1">
            <w:pPr>
              <w:pStyle w:val="15"/>
              <w:ind w:left="107"/>
              <w:jc w:val="center"/>
              <w:rPr>
                <w:rFonts w:eastAsia="仿宋"/>
                <w:color w:val="auto"/>
                <w:sz w:val="20"/>
                <w:highlight w:val="none"/>
                <w:lang w:val="en-US"/>
              </w:rPr>
            </w:pPr>
            <w:r>
              <w:rPr>
                <w:rFonts w:eastAsia="仿宋"/>
                <w:color w:val="auto"/>
                <w:sz w:val="20"/>
                <w:highlight w:val="none"/>
                <w:lang w:val="en-US"/>
              </w:rPr>
              <w:t>进行预答辩</w:t>
            </w:r>
          </w:p>
        </w:tc>
        <w:tc>
          <w:tcPr>
            <w:tcW w:w="1843" w:type="dxa"/>
            <w:shd w:val="clear" w:color="auto" w:fill="FFFFFF"/>
            <w:vAlign w:val="center"/>
          </w:tcPr>
          <w:p w14:paraId="3E8B8EDF">
            <w:pPr>
              <w:pStyle w:val="15"/>
              <w:ind w:left="107"/>
              <w:jc w:val="center"/>
              <w:rPr>
                <w:rFonts w:eastAsia="仿宋"/>
                <w:color w:val="auto"/>
                <w:sz w:val="20"/>
                <w:highlight w:val="none"/>
                <w:lang w:val="en-US"/>
              </w:rPr>
            </w:pPr>
            <w:r>
              <w:rPr>
                <w:rFonts w:hint="eastAsia" w:eastAsia="仿宋"/>
                <w:color w:val="auto"/>
                <w:sz w:val="20"/>
                <w:highlight w:val="none"/>
                <w:lang w:val="en-US"/>
              </w:rPr>
              <w:t>导师</w:t>
            </w:r>
            <w:r>
              <w:rPr>
                <w:rFonts w:eastAsia="仿宋"/>
                <w:color w:val="auto"/>
                <w:sz w:val="20"/>
                <w:highlight w:val="none"/>
                <w:lang w:val="en-US"/>
              </w:rPr>
              <w:t>组</w:t>
            </w:r>
          </w:p>
        </w:tc>
      </w:tr>
      <w:tr w14:paraId="44CC6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499" w:hRule="atLeast"/>
          <w:jc w:val="center"/>
        </w:trPr>
        <w:tc>
          <w:tcPr>
            <w:tcW w:w="1560" w:type="dxa"/>
            <w:shd w:val="clear" w:color="auto" w:fill="FFFFFF"/>
            <w:vAlign w:val="center"/>
          </w:tcPr>
          <w:p w14:paraId="2A27D3DD">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3A4E5AC1">
            <w:pPr>
              <w:pStyle w:val="15"/>
              <w:ind w:left="107"/>
              <w:jc w:val="center"/>
              <w:rPr>
                <w:rFonts w:eastAsia="仿宋"/>
                <w:color w:val="auto"/>
                <w:sz w:val="20"/>
                <w:highlight w:val="none"/>
                <w:lang w:val="en-US"/>
              </w:rPr>
            </w:pPr>
            <w:r>
              <w:rPr>
                <w:rFonts w:eastAsia="仿宋"/>
                <w:color w:val="auto"/>
                <w:sz w:val="20"/>
                <w:highlight w:val="none"/>
                <w:lang w:val="en-US"/>
              </w:rPr>
              <w:t>论文评审</w:t>
            </w:r>
          </w:p>
        </w:tc>
        <w:tc>
          <w:tcPr>
            <w:tcW w:w="3959" w:type="dxa"/>
            <w:shd w:val="clear" w:color="auto" w:fill="FFFFFF"/>
            <w:vAlign w:val="center"/>
          </w:tcPr>
          <w:p w14:paraId="2F31148E">
            <w:pPr>
              <w:pStyle w:val="15"/>
              <w:ind w:left="107"/>
              <w:jc w:val="center"/>
              <w:rPr>
                <w:rFonts w:eastAsia="仿宋"/>
                <w:color w:val="auto"/>
                <w:sz w:val="20"/>
                <w:highlight w:val="none"/>
                <w:lang w:val="en-US"/>
              </w:rPr>
            </w:pPr>
            <w:r>
              <w:rPr>
                <w:rFonts w:eastAsia="仿宋"/>
                <w:color w:val="auto"/>
                <w:sz w:val="20"/>
                <w:highlight w:val="none"/>
                <w:lang w:val="en-US"/>
              </w:rPr>
              <w:t>外送评审</w:t>
            </w:r>
          </w:p>
        </w:tc>
        <w:tc>
          <w:tcPr>
            <w:tcW w:w="1843" w:type="dxa"/>
            <w:shd w:val="clear" w:color="auto" w:fill="FFFFFF"/>
            <w:vAlign w:val="center"/>
          </w:tcPr>
          <w:p w14:paraId="008A85B3">
            <w:pPr>
              <w:pStyle w:val="15"/>
              <w:ind w:left="107"/>
              <w:jc w:val="center"/>
              <w:rPr>
                <w:rFonts w:eastAsia="仿宋"/>
                <w:color w:val="auto"/>
                <w:sz w:val="20"/>
                <w:highlight w:val="none"/>
                <w:lang w:val="en-US"/>
              </w:rPr>
            </w:pPr>
            <w:r>
              <w:rPr>
                <w:rFonts w:eastAsia="仿宋"/>
                <w:color w:val="auto"/>
                <w:sz w:val="20"/>
                <w:highlight w:val="none"/>
                <w:lang w:val="en-US"/>
              </w:rPr>
              <w:t>评审专家</w:t>
            </w:r>
          </w:p>
        </w:tc>
      </w:tr>
      <w:tr w14:paraId="61879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0" w:type="dxa"/>
            <w:bottom w:w="0" w:type="dxa"/>
            <w:right w:w="0" w:type="dxa"/>
          </w:tblCellMar>
        </w:tblPrEx>
        <w:trPr>
          <w:trHeight w:val="500" w:hRule="atLeast"/>
          <w:jc w:val="center"/>
        </w:trPr>
        <w:tc>
          <w:tcPr>
            <w:tcW w:w="1560" w:type="dxa"/>
            <w:shd w:val="clear" w:color="auto" w:fill="FFFFFF"/>
            <w:vAlign w:val="center"/>
          </w:tcPr>
          <w:p w14:paraId="05CBB9FE">
            <w:pPr>
              <w:pStyle w:val="15"/>
              <w:ind w:left="107"/>
              <w:jc w:val="center"/>
              <w:rPr>
                <w:rFonts w:eastAsia="仿宋"/>
                <w:color w:val="auto"/>
                <w:sz w:val="20"/>
                <w:highlight w:val="none"/>
                <w:lang w:val="en-US"/>
              </w:rPr>
            </w:pPr>
            <w:r>
              <w:rPr>
                <w:rFonts w:eastAsia="仿宋"/>
                <w:color w:val="auto"/>
                <w:sz w:val="20"/>
                <w:highlight w:val="none"/>
                <w:lang w:val="en-US"/>
              </w:rPr>
              <w:t>第 10 学期</w:t>
            </w:r>
          </w:p>
        </w:tc>
        <w:tc>
          <w:tcPr>
            <w:tcW w:w="1852" w:type="dxa"/>
            <w:shd w:val="clear" w:color="auto" w:fill="FFFFFF"/>
            <w:vAlign w:val="center"/>
          </w:tcPr>
          <w:p w14:paraId="3F0D9C50">
            <w:pPr>
              <w:pStyle w:val="15"/>
              <w:ind w:left="107"/>
              <w:jc w:val="center"/>
              <w:rPr>
                <w:rFonts w:eastAsia="仿宋"/>
                <w:color w:val="auto"/>
                <w:sz w:val="20"/>
                <w:highlight w:val="none"/>
                <w:lang w:val="en-US"/>
              </w:rPr>
            </w:pPr>
            <w:r>
              <w:rPr>
                <w:rFonts w:eastAsia="仿宋"/>
                <w:color w:val="auto"/>
                <w:sz w:val="20"/>
                <w:highlight w:val="none"/>
                <w:lang w:val="en-US"/>
              </w:rPr>
              <w:t>答辩</w:t>
            </w:r>
          </w:p>
        </w:tc>
        <w:tc>
          <w:tcPr>
            <w:tcW w:w="3959" w:type="dxa"/>
            <w:shd w:val="clear" w:color="auto" w:fill="FFFFFF"/>
            <w:vAlign w:val="center"/>
          </w:tcPr>
          <w:p w14:paraId="0FF00B8E">
            <w:pPr>
              <w:pStyle w:val="15"/>
              <w:ind w:left="107"/>
              <w:jc w:val="center"/>
              <w:rPr>
                <w:rFonts w:eastAsia="仿宋"/>
                <w:color w:val="auto"/>
                <w:sz w:val="20"/>
                <w:highlight w:val="none"/>
                <w:lang w:val="en-US"/>
              </w:rPr>
            </w:pPr>
            <w:r>
              <w:rPr>
                <w:rFonts w:hint="eastAsia" w:eastAsia="仿宋"/>
                <w:color w:val="auto"/>
                <w:sz w:val="20"/>
                <w:highlight w:val="none"/>
                <w:lang w:val="en-US"/>
              </w:rPr>
              <w:t>公开</w:t>
            </w:r>
            <w:r>
              <w:rPr>
                <w:rFonts w:eastAsia="仿宋"/>
                <w:color w:val="auto"/>
                <w:sz w:val="20"/>
                <w:highlight w:val="none"/>
                <w:lang w:val="en-US"/>
              </w:rPr>
              <w:t>答辩</w:t>
            </w:r>
          </w:p>
        </w:tc>
        <w:tc>
          <w:tcPr>
            <w:tcW w:w="1843" w:type="dxa"/>
            <w:shd w:val="clear" w:color="auto" w:fill="FFFFFF"/>
            <w:vAlign w:val="center"/>
          </w:tcPr>
          <w:p w14:paraId="1959F3D5">
            <w:pPr>
              <w:pStyle w:val="15"/>
              <w:ind w:left="107"/>
              <w:jc w:val="center"/>
              <w:rPr>
                <w:rFonts w:eastAsia="仿宋"/>
                <w:color w:val="auto"/>
                <w:sz w:val="20"/>
                <w:highlight w:val="none"/>
                <w:lang w:val="en-US"/>
              </w:rPr>
            </w:pPr>
            <w:r>
              <w:rPr>
                <w:rFonts w:eastAsia="仿宋"/>
                <w:color w:val="auto"/>
                <w:sz w:val="20"/>
                <w:highlight w:val="none"/>
                <w:lang w:val="en-US"/>
              </w:rPr>
              <w:t>答辩委员会</w:t>
            </w:r>
          </w:p>
        </w:tc>
      </w:tr>
    </w:tbl>
    <w:p w14:paraId="25961BCE">
      <w:pPr>
        <w:pStyle w:val="15"/>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46873F88">
      <w:pPr>
        <w:adjustRightInd w:val="0"/>
        <w:snapToGrid w:val="0"/>
        <w:spacing w:line="540" w:lineRule="atLeast"/>
        <w:jc w:val="left"/>
        <w:rPr>
          <w:rFonts w:eastAsia="仿宋_GB2312"/>
          <w:color w:val="auto"/>
          <w:sz w:val="28"/>
          <w:szCs w:val="28"/>
          <w:highlight w:val="none"/>
        </w:rPr>
      </w:pPr>
    </w:p>
    <w:p w14:paraId="73DF3FAC">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学位论文</w:t>
      </w:r>
    </w:p>
    <w:p w14:paraId="3EEDB30F">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工程博士论文应与解决重大工程技术问题、实现企业技术进步和推动产业升级紧密结合，应具有技术或应用创新性。</w:t>
      </w:r>
    </w:p>
    <w:p w14:paraId="5833630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1. 论文形式</w:t>
      </w:r>
    </w:p>
    <w:p w14:paraId="1FA78844">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专业工程博士专业学位论文的研究内容可以是工程设计与研究、仪器设备研制、技术攻关研究等，类型可以多样化，既可以是系统完整的课题研究论文，也可以是大型工程项目为背景的技术论文。论文必须体现以下内容：</w:t>
      </w:r>
    </w:p>
    <w:p w14:paraId="6C89A2B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反映作者在工程实践项目中的实际贡献及创造性成果；</w:t>
      </w:r>
    </w:p>
    <w:p w14:paraId="2517C1C4">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反映作者已掌握了本领域基础理论及专业技术知识；</w:t>
      </w:r>
    </w:p>
    <w:p w14:paraId="0771C02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反映作者具有本领域技术发展跟踪及创新研究能力和国际竞争力；</w:t>
      </w:r>
    </w:p>
    <w:p w14:paraId="476AA36F">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反映作者具有独立解决重大工程技术问题的能力。</w:t>
      </w:r>
    </w:p>
    <w:p w14:paraId="609048DC">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2. 论文选题</w:t>
      </w:r>
    </w:p>
    <w:p w14:paraId="3E09E91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专业学位博士论文应在导师的指导下，以实现国家需求为主要目的，与实现企业技术进步和推动产业升级紧密结合，应具有明确的工程技术背景与应用价值，并具有较大的技术难度和工作量，突出专业博士学位论文的创新性及解决领域难题的特色。</w:t>
      </w:r>
    </w:p>
    <w:p w14:paraId="732688B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3. 论文进展与考核</w:t>
      </w:r>
    </w:p>
    <w:p w14:paraId="051A11D1">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学位论文主要从工程难题解决方案的系统性、先进性、有效性等方面进行综合评估。在入学后的第七个学期初（10月中旬），对学位论文工作进展情况进行检查与考核。导师对研究生的论文工作进展情况、取得的阶段性成果、存在的问题、与预期目标的差距等进行检查考核，对综合能力较差、论文工作进展缓慢、投入时间和精力不足的研究生提出警告，或按学籍管理规定进行处理。</w:t>
      </w:r>
    </w:p>
    <w:p w14:paraId="71B0D553">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4. 学位论文水平要求</w:t>
      </w:r>
    </w:p>
    <w:p w14:paraId="4385765D">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学位论文必须反映从事应用研究成果的原创性和博士生进行独立科研的能力。有较高的技术难度、深度、先进性和工作量；表明作者具有综合运用科学理论、方法和技术手段解决工程问题及进行技术攻关的能力。论文必须提出解决工程问题的新思想、新方法，或开发出新工艺、新技术、新设备，具有较强的先进性和实用性。</w:t>
      </w:r>
    </w:p>
    <w:p w14:paraId="25F14B4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5. 学位论文成果形式</w:t>
      </w:r>
    </w:p>
    <w:p w14:paraId="76855786">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按照《学位与研究生教育工作手册》、《中山大学博士硕士学位授予工作细则》等有关规定执行。</w:t>
      </w:r>
    </w:p>
    <w:p w14:paraId="3C696DF0">
      <w:pPr>
        <w:pStyle w:val="2"/>
      </w:pPr>
    </w:p>
    <w:p w14:paraId="2E341E9F">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论文评阅与答辩</w:t>
      </w:r>
    </w:p>
    <w:p w14:paraId="1135A7E0">
      <w:pPr>
        <w:adjustRightInd w:val="0"/>
        <w:snapToGrid w:val="0"/>
        <w:spacing w:line="540" w:lineRule="atLeast"/>
        <w:ind w:firstLine="560" w:firstLineChars="200"/>
        <w:jc w:val="left"/>
        <w:rPr>
          <w:rFonts w:eastAsia="仿宋_GB2312"/>
          <w:color w:val="auto"/>
          <w:sz w:val="28"/>
          <w:szCs w:val="28"/>
          <w:highlight w:val="none"/>
        </w:rPr>
      </w:pPr>
      <w:r>
        <w:rPr>
          <w:rFonts w:hint="eastAsia" w:eastAsia="仿宋_GB2312"/>
          <w:color w:val="auto"/>
          <w:sz w:val="28"/>
          <w:szCs w:val="28"/>
          <w:highlight w:val="none"/>
        </w:rPr>
        <w:t>电子信息工程博士专业学位研究生在完成培养计划，课程成绩合格，学术成果符合要求，学位论文经导师审核认可后，可提出学位论文答辩申请。学院审核通过，可安排学位论文送审。</w:t>
      </w:r>
    </w:p>
    <w:p w14:paraId="4E468BB7">
      <w:pPr>
        <w:adjustRightInd w:val="0"/>
        <w:snapToGrid w:val="0"/>
        <w:spacing w:line="540" w:lineRule="atLeast"/>
        <w:ind w:firstLine="560" w:firstLineChars="200"/>
        <w:jc w:val="left"/>
        <w:rPr>
          <w:rFonts w:hint="eastAsia" w:eastAsia="仿宋_GB2312"/>
          <w:color w:val="auto"/>
          <w:sz w:val="28"/>
          <w:szCs w:val="28"/>
          <w:highlight w:val="none"/>
        </w:rPr>
      </w:pPr>
      <w:r>
        <w:rPr>
          <w:rFonts w:hint="eastAsia" w:eastAsia="仿宋_GB2312"/>
          <w:color w:val="auto"/>
          <w:sz w:val="28"/>
          <w:szCs w:val="28"/>
          <w:highlight w:val="none"/>
        </w:rPr>
        <w:t>论文送审评阅书收齐后，符合要求才可进行答辩。根据《中山大学博士硕士学位授予工作细则》，博士研究生答辩委员会由5-7名委员组成，其中校外专家2-3人</w:t>
      </w:r>
      <w:r>
        <w:rPr>
          <w:rFonts w:hint="eastAsia" w:eastAsia="仿宋_GB2312"/>
          <w:color w:val="auto"/>
          <w:sz w:val="28"/>
          <w:szCs w:val="28"/>
          <w:highlight w:val="none"/>
          <w:lang w:eastAsia="zh-CN"/>
        </w:rPr>
        <w:t>（包括不少于2位行（企）业专家）</w:t>
      </w:r>
      <w:r>
        <w:rPr>
          <w:rFonts w:hint="eastAsia" w:eastAsia="仿宋_GB2312"/>
          <w:color w:val="auto"/>
          <w:sz w:val="28"/>
          <w:szCs w:val="28"/>
          <w:highlight w:val="none"/>
        </w:rPr>
        <w:t>，最多不超过3人，名单由导师提出，由学院审核后报研究生学位办公室审批。主席应由学术地位较高的答辩委员担任，博士学位论文答辩委员会主席应具有博士研究生导师资格。论文指导教师不能作为答辩委员会成员，但可参加答辩会，以备答辩委员会咨询，但在答辩委员会讨论和投票表决时应该回避。委员会根据答辩情况，就是否授予博士学位作出决议。决议采取不记名投票方式，经全体成员2/3以上同意，方能通过答辩。</w:t>
      </w:r>
    </w:p>
    <w:p w14:paraId="5C72AE17">
      <w:pPr>
        <w:pStyle w:val="2"/>
      </w:pPr>
    </w:p>
    <w:p w14:paraId="4E573E65">
      <w:pPr>
        <w:numPr>
          <w:ilvl w:val="0"/>
          <w:numId w:val="1"/>
        </w:numPr>
        <w:spacing w:line="500" w:lineRule="exact"/>
        <w:ind w:left="147"/>
        <w:rPr>
          <w:rFonts w:ascii="Times New Roman" w:hAnsi="Times New Roman" w:eastAsia="黑体" w:cs="Times New Roman"/>
          <w:bCs/>
          <w:color w:val="auto"/>
          <w:sz w:val="32"/>
          <w:szCs w:val="32"/>
          <w:highlight w:val="none"/>
        </w:rPr>
      </w:pPr>
      <w:r>
        <w:rPr>
          <w:rFonts w:ascii="Times New Roman" w:hAnsi="Times New Roman" w:eastAsia="黑体" w:cs="Times New Roman"/>
          <w:bCs/>
          <w:color w:val="auto"/>
          <w:sz w:val="32"/>
          <w:szCs w:val="32"/>
          <w:highlight w:val="none"/>
        </w:rPr>
        <w:t>学位授予</w:t>
      </w:r>
    </w:p>
    <w:p w14:paraId="61A4BA02">
      <w:pPr>
        <w:adjustRightInd w:val="0"/>
        <w:snapToGrid w:val="0"/>
        <w:spacing w:line="540" w:lineRule="atLeast"/>
        <w:ind w:firstLine="560" w:firstLineChars="200"/>
        <w:jc w:val="left"/>
        <w:rPr>
          <w:rFonts w:eastAsia="仿宋_GB2312"/>
          <w:color w:val="auto"/>
          <w:sz w:val="32"/>
          <w:szCs w:val="32"/>
          <w:highlight w:val="none"/>
        </w:rPr>
      </w:pPr>
      <w:r>
        <w:rPr>
          <w:rFonts w:hint="eastAsia" w:eastAsia="仿宋_GB2312"/>
          <w:color w:val="auto"/>
          <w:sz w:val="28"/>
          <w:szCs w:val="28"/>
          <w:highlight w:val="none"/>
        </w:rPr>
        <w:t>在规定的学习年限内完成博士培养计划，课程成绩合格并达到规定的学分要求，符合学校和</w:t>
      </w:r>
      <w:r>
        <w:rPr>
          <w:rFonts w:hint="eastAsia" w:eastAsia="仿宋_GB2312"/>
          <w:color w:val="auto"/>
          <w:sz w:val="28"/>
          <w:szCs w:val="28"/>
          <w:highlight w:val="none"/>
          <w:lang w:val="en-US" w:eastAsia="zh-CN"/>
        </w:rPr>
        <w:t>所在</w:t>
      </w:r>
      <w:r>
        <w:rPr>
          <w:rFonts w:hint="eastAsia" w:eastAsia="仿宋_GB2312"/>
          <w:color w:val="auto"/>
          <w:sz w:val="28"/>
          <w:szCs w:val="28"/>
          <w:highlight w:val="none"/>
        </w:rPr>
        <w:t>学院规定的学术成果要求，通过学位论文评审及答辩，可申请博士专业学位，具体按照《中山大学博士硕士学位授予工作细则》执行。</w:t>
      </w:r>
    </w:p>
    <w:p w14:paraId="2DEC7AAD">
      <w:pPr>
        <w:adjustRightInd w:val="0"/>
        <w:snapToGrid w:val="0"/>
        <w:spacing w:line="540" w:lineRule="atLeast"/>
        <w:rPr>
          <w:rFonts w:eastAsia="楷体"/>
          <w:b/>
          <w:color w:val="auto"/>
          <w:sz w:val="28"/>
          <w:szCs w:val="28"/>
          <w:highlight w:val="none"/>
        </w:rPr>
      </w:pPr>
    </w:p>
    <w:p w14:paraId="7D976A35">
      <w:pPr>
        <w:snapToGrid w:val="0"/>
        <w:spacing w:line="540" w:lineRule="atLeast"/>
        <w:ind w:firstLine="4270" w:firstLineChars="1525"/>
        <w:rPr>
          <w:rFonts w:eastAsia="楷体"/>
          <w:color w:val="auto"/>
          <w:sz w:val="28"/>
          <w:szCs w:val="28"/>
          <w:highlight w:val="none"/>
        </w:rPr>
      </w:pPr>
      <w:r>
        <w:rPr>
          <w:rFonts w:eastAsia="黑体"/>
          <w:bCs/>
          <w:color w:val="auto"/>
          <w:sz w:val="28"/>
          <w:szCs w:val="28"/>
          <w:highlight w:val="none"/>
        </w:rPr>
        <w:t>负责人</w:t>
      </w:r>
      <w:r>
        <w:rPr>
          <w:rFonts w:hint="eastAsia" w:eastAsia="黑体"/>
          <w:bCs/>
          <w:color w:val="auto"/>
          <w:sz w:val="28"/>
          <w:szCs w:val="28"/>
          <w:highlight w:val="none"/>
        </w:rPr>
        <w:t>：</w:t>
      </w:r>
    </w:p>
    <w:p w14:paraId="0B276515">
      <w:pPr>
        <w:spacing w:line="540" w:lineRule="atLeast"/>
        <w:jc w:val="right"/>
        <w:rPr>
          <w:rFonts w:eastAsia="等线"/>
          <w:color w:val="auto"/>
          <w:highlight w:val="none"/>
        </w:rPr>
      </w:pPr>
      <w:r>
        <w:rPr>
          <w:rFonts w:eastAsia="仿宋_GB2312"/>
          <w:color w:val="auto"/>
          <w:sz w:val="28"/>
          <w:szCs w:val="28"/>
          <w:highlight w:val="none"/>
        </w:rPr>
        <w:t>修订日期：</w:t>
      </w:r>
      <w:r>
        <w:rPr>
          <w:rFonts w:hint="eastAsia" w:eastAsia="仿宋_GB2312"/>
          <w:color w:val="auto"/>
          <w:sz w:val="28"/>
          <w:szCs w:val="28"/>
          <w:highlight w:val="none"/>
          <w:lang w:val="en-US" w:eastAsia="zh-CN"/>
        </w:rPr>
        <w:t>2025</w:t>
      </w:r>
      <w:r>
        <w:rPr>
          <w:rFonts w:eastAsia="仿宋_GB2312"/>
          <w:color w:val="auto"/>
          <w:sz w:val="28"/>
          <w:szCs w:val="28"/>
          <w:highlight w:val="none"/>
        </w:rPr>
        <w:t xml:space="preserve">年 </w:t>
      </w:r>
      <w:r>
        <w:rPr>
          <w:rFonts w:hint="eastAsia" w:eastAsia="仿宋_GB2312"/>
          <w:color w:val="auto"/>
          <w:sz w:val="28"/>
          <w:szCs w:val="28"/>
          <w:highlight w:val="none"/>
          <w:lang w:val="en-US" w:eastAsia="zh-CN"/>
        </w:rPr>
        <w:t>8</w:t>
      </w:r>
      <w:r>
        <w:rPr>
          <w:rFonts w:eastAsia="仿宋_GB2312"/>
          <w:color w:val="auto"/>
          <w:sz w:val="28"/>
          <w:szCs w:val="28"/>
          <w:highlight w:val="none"/>
        </w:rPr>
        <w:t xml:space="preserve"> 月 </w:t>
      </w:r>
      <w:bookmarkStart w:id="0" w:name="_GoBack"/>
      <w:bookmarkEnd w:id="0"/>
      <w:r>
        <w:rPr>
          <w:rFonts w:hint="eastAsia" w:eastAsia="仿宋_GB2312"/>
          <w:color w:val="auto"/>
          <w:sz w:val="28"/>
          <w:szCs w:val="28"/>
          <w:highlight w:val="none"/>
          <w:lang w:val="en-US" w:eastAsia="zh-CN"/>
        </w:rPr>
        <w:t>1</w:t>
      </w:r>
      <w:r>
        <w:rPr>
          <w:rFonts w:eastAsia="仿宋_GB2312"/>
          <w:color w:val="auto"/>
          <w:sz w:val="28"/>
          <w:szCs w:val="28"/>
          <w:highlight w:val="none"/>
        </w:rPr>
        <w:t xml:space="preserve"> 日</w:t>
      </w:r>
    </w:p>
    <w:p w14:paraId="16AB4CE7">
      <w:pPr>
        <w:spacing w:line="360" w:lineRule="auto"/>
        <w:jc w:val="right"/>
        <w:rPr>
          <w:rFonts w:eastAsia="等线"/>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A26D8A6B-8B25-4F11-8A30-E82F12D0BF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48FE183-DD45-4408-9A40-1509F59D9197}"/>
  </w:font>
  <w:font w:name="微软雅黑">
    <w:panose1 w:val="020B0503020204020204"/>
    <w:charset w:val="86"/>
    <w:family w:val="auto"/>
    <w:pitch w:val="default"/>
    <w:sig w:usb0="80000287" w:usb1="2ACF3C50" w:usb2="00000016" w:usb3="00000000" w:csb0="0004001F" w:csb1="00000000"/>
    <w:embedRegular r:id="rId3" w:fontKey="{F68DB52E-246A-4F8A-9FB4-72E12473BC08}"/>
  </w:font>
  <w:font w:name="仿宋_GB2312">
    <w:panose1 w:val="02010609030101010101"/>
    <w:charset w:val="86"/>
    <w:family w:val="modern"/>
    <w:pitch w:val="default"/>
    <w:sig w:usb0="00000001" w:usb1="080E0000" w:usb2="00000000" w:usb3="00000000" w:csb0="00040000" w:csb1="00000000"/>
    <w:embedRegular r:id="rId4" w:fontKey="{B7E46754-A29B-4EFF-B647-88EE45EEEE33}"/>
  </w:font>
  <w:font w:name="仿宋">
    <w:panose1 w:val="02010609060101010101"/>
    <w:charset w:val="86"/>
    <w:family w:val="modern"/>
    <w:pitch w:val="default"/>
    <w:sig w:usb0="800002BF" w:usb1="38CF7CFA" w:usb2="00000016" w:usb3="00000000" w:csb0="00040001" w:csb1="00000000"/>
    <w:embedRegular r:id="rId5" w:fontKey="{B311B14B-4756-4D89-89E1-CFB0DBBA6038}"/>
  </w:font>
  <w:font w:name="楷体">
    <w:panose1 w:val="02010609060101010101"/>
    <w:charset w:val="86"/>
    <w:family w:val="modern"/>
    <w:pitch w:val="default"/>
    <w:sig w:usb0="800002BF" w:usb1="38CF7CFA" w:usb2="00000016" w:usb3="00000000" w:csb0="00040001" w:csb1="00000000"/>
    <w:embedRegular r:id="rId6" w:fontKey="{20B809F0-33FB-428E-A429-3B3FC733334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cyNzI0MzGzNLe0tDBW0lEKTi0uzszPAykwqgUADp1CIywAAAA="/>
    <w:docVar w:name="commondata" w:val="eyJoZGlkIjoiZTEwNDYzY2VlZDE3MjNkMDJkMDU4MmYxYTk5MzkwYzIifQ=="/>
  </w:docVars>
  <w:rsids>
    <w:rsidRoot w:val="00EC4A7A"/>
    <w:rsid w:val="000004C8"/>
    <w:rsid w:val="00001D4C"/>
    <w:rsid w:val="00013F69"/>
    <w:rsid w:val="0002387A"/>
    <w:rsid w:val="00032EC2"/>
    <w:rsid w:val="0003301E"/>
    <w:rsid w:val="00041D2D"/>
    <w:rsid w:val="000423AE"/>
    <w:rsid w:val="000462CA"/>
    <w:rsid w:val="00053723"/>
    <w:rsid w:val="00060C0A"/>
    <w:rsid w:val="00061028"/>
    <w:rsid w:val="000650F0"/>
    <w:rsid w:val="00065462"/>
    <w:rsid w:val="000665F6"/>
    <w:rsid w:val="00067527"/>
    <w:rsid w:val="00071FC0"/>
    <w:rsid w:val="0007558A"/>
    <w:rsid w:val="00076B30"/>
    <w:rsid w:val="00076F9D"/>
    <w:rsid w:val="000770E3"/>
    <w:rsid w:val="00083178"/>
    <w:rsid w:val="000837DA"/>
    <w:rsid w:val="00084676"/>
    <w:rsid w:val="00084F82"/>
    <w:rsid w:val="00085AF8"/>
    <w:rsid w:val="0008605D"/>
    <w:rsid w:val="00095EC7"/>
    <w:rsid w:val="000A2111"/>
    <w:rsid w:val="000A4785"/>
    <w:rsid w:val="000B188D"/>
    <w:rsid w:val="000B4C7D"/>
    <w:rsid w:val="000B679C"/>
    <w:rsid w:val="000B7CDE"/>
    <w:rsid w:val="000C0BB9"/>
    <w:rsid w:val="000C36C0"/>
    <w:rsid w:val="000D125D"/>
    <w:rsid w:val="000D5AFC"/>
    <w:rsid w:val="000F1C53"/>
    <w:rsid w:val="000F5B32"/>
    <w:rsid w:val="001067A8"/>
    <w:rsid w:val="001109F6"/>
    <w:rsid w:val="00113FA4"/>
    <w:rsid w:val="00116FF5"/>
    <w:rsid w:val="00120021"/>
    <w:rsid w:val="00121F49"/>
    <w:rsid w:val="001220B3"/>
    <w:rsid w:val="00122D53"/>
    <w:rsid w:val="00124D72"/>
    <w:rsid w:val="00133458"/>
    <w:rsid w:val="0013779E"/>
    <w:rsid w:val="001434C0"/>
    <w:rsid w:val="0014741B"/>
    <w:rsid w:val="001561C8"/>
    <w:rsid w:val="001565B8"/>
    <w:rsid w:val="001643D9"/>
    <w:rsid w:val="00166EA5"/>
    <w:rsid w:val="00175BE6"/>
    <w:rsid w:val="0018353C"/>
    <w:rsid w:val="001868A1"/>
    <w:rsid w:val="00196A6B"/>
    <w:rsid w:val="001A2DFE"/>
    <w:rsid w:val="001B0AD8"/>
    <w:rsid w:val="001B19BB"/>
    <w:rsid w:val="001B7070"/>
    <w:rsid w:val="001D6B11"/>
    <w:rsid w:val="001D76ED"/>
    <w:rsid w:val="001E0052"/>
    <w:rsid w:val="001E279D"/>
    <w:rsid w:val="001E458B"/>
    <w:rsid w:val="00210455"/>
    <w:rsid w:val="00210FB3"/>
    <w:rsid w:val="00217BA6"/>
    <w:rsid w:val="00224A56"/>
    <w:rsid w:val="00226DA9"/>
    <w:rsid w:val="00233B91"/>
    <w:rsid w:val="0024247A"/>
    <w:rsid w:val="002442A1"/>
    <w:rsid w:val="00245887"/>
    <w:rsid w:val="002471FC"/>
    <w:rsid w:val="0025093C"/>
    <w:rsid w:val="002535EB"/>
    <w:rsid w:val="0026470C"/>
    <w:rsid w:val="0027051C"/>
    <w:rsid w:val="0027370F"/>
    <w:rsid w:val="002740A2"/>
    <w:rsid w:val="002765A2"/>
    <w:rsid w:val="00282C7A"/>
    <w:rsid w:val="00285A30"/>
    <w:rsid w:val="00285F1C"/>
    <w:rsid w:val="00290E66"/>
    <w:rsid w:val="002A1EEC"/>
    <w:rsid w:val="002A3E05"/>
    <w:rsid w:val="002B418A"/>
    <w:rsid w:val="002B750D"/>
    <w:rsid w:val="002C04C0"/>
    <w:rsid w:val="002C38C5"/>
    <w:rsid w:val="002C583D"/>
    <w:rsid w:val="002C77DA"/>
    <w:rsid w:val="002F4669"/>
    <w:rsid w:val="002F4C2B"/>
    <w:rsid w:val="00302DC0"/>
    <w:rsid w:val="00303495"/>
    <w:rsid w:val="00311DC6"/>
    <w:rsid w:val="0031338C"/>
    <w:rsid w:val="00316B22"/>
    <w:rsid w:val="00321A5E"/>
    <w:rsid w:val="00330FE7"/>
    <w:rsid w:val="00331F15"/>
    <w:rsid w:val="0033236D"/>
    <w:rsid w:val="00335980"/>
    <w:rsid w:val="00336030"/>
    <w:rsid w:val="003376C9"/>
    <w:rsid w:val="00341988"/>
    <w:rsid w:val="00352A1C"/>
    <w:rsid w:val="00353C36"/>
    <w:rsid w:val="00355122"/>
    <w:rsid w:val="003564D9"/>
    <w:rsid w:val="003723A5"/>
    <w:rsid w:val="003729DF"/>
    <w:rsid w:val="00372C06"/>
    <w:rsid w:val="00372D59"/>
    <w:rsid w:val="00377BFA"/>
    <w:rsid w:val="00385A3D"/>
    <w:rsid w:val="003912E2"/>
    <w:rsid w:val="00396137"/>
    <w:rsid w:val="003A0B6D"/>
    <w:rsid w:val="003A4417"/>
    <w:rsid w:val="003A4638"/>
    <w:rsid w:val="003A50CA"/>
    <w:rsid w:val="003A6E0C"/>
    <w:rsid w:val="003B266A"/>
    <w:rsid w:val="003C1432"/>
    <w:rsid w:val="003C2294"/>
    <w:rsid w:val="003C60AA"/>
    <w:rsid w:val="003E055B"/>
    <w:rsid w:val="003E1F90"/>
    <w:rsid w:val="003E2EE2"/>
    <w:rsid w:val="003E6FC9"/>
    <w:rsid w:val="003F0491"/>
    <w:rsid w:val="003F50EE"/>
    <w:rsid w:val="004018E2"/>
    <w:rsid w:val="00407567"/>
    <w:rsid w:val="00411FDF"/>
    <w:rsid w:val="004162CD"/>
    <w:rsid w:val="00417C31"/>
    <w:rsid w:val="00417CB9"/>
    <w:rsid w:val="0042414A"/>
    <w:rsid w:val="0043027F"/>
    <w:rsid w:val="0043162C"/>
    <w:rsid w:val="00431AB9"/>
    <w:rsid w:val="0043403D"/>
    <w:rsid w:val="004444DA"/>
    <w:rsid w:val="00451611"/>
    <w:rsid w:val="004522A1"/>
    <w:rsid w:val="00462913"/>
    <w:rsid w:val="00464EBD"/>
    <w:rsid w:val="00471CD4"/>
    <w:rsid w:val="004720B6"/>
    <w:rsid w:val="00473246"/>
    <w:rsid w:val="00476375"/>
    <w:rsid w:val="00477E0C"/>
    <w:rsid w:val="004844F4"/>
    <w:rsid w:val="004A0122"/>
    <w:rsid w:val="004A055C"/>
    <w:rsid w:val="004A52CB"/>
    <w:rsid w:val="004B1802"/>
    <w:rsid w:val="004C1B57"/>
    <w:rsid w:val="004C2C80"/>
    <w:rsid w:val="004D18FA"/>
    <w:rsid w:val="004D2927"/>
    <w:rsid w:val="004D3736"/>
    <w:rsid w:val="004D6063"/>
    <w:rsid w:val="005034B4"/>
    <w:rsid w:val="005044BA"/>
    <w:rsid w:val="0050657F"/>
    <w:rsid w:val="00506FB5"/>
    <w:rsid w:val="005077F0"/>
    <w:rsid w:val="005101BC"/>
    <w:rsid w:val="00514849"/>
    <w:rsid w:val="005267F4"/>
    <w:rsid w:val="00534513"/>
    <w:rsid w:val="00541FC2"/>
    <w:rsid w:val="00545A19"/>
    <w:rsid w:val="00545F47"/>
    <w:rsid w:val="00545F62"/>
    <w:rsid w:val="00555829"/>
    <w:rsid w:val="00555A42"/>
    <w:rsid w:val="00567638"/>
    <w:rsid w:val="005707FF"/>
    <w:rsid w:val="00572F43"/>
    <w:rsid w:val="00577431"/>
    <w:rsid w:val="00581B1A"/>
    <w:rsid w:val="005A36CF"/>
    <w:rsid w:val="005B109B"/>
    <w:rsid w:val="005B4928"/>
    <w:rsid w:val="005B6FAF"/>
    <w:rsid w:val="005C6F1E"/>
    <w:rsid w:val="005D1FC1"/>
    <w:rsid w:val="005D79A0"/>
    <w:rsid w:val="005D7C00"/>
    <w:rsid w:val="005D7FB2"/>
    <w:rsid w:val="005E25F8"/>
    <w:rsid w:val="005E3655"/>
    <w:rsid w:val="005E549A"/>
    <w:rsid w:val="005F40AC"/>
    <w:rsid w:val="005F5345"/>
    <w:rsid w:val="005F5497"/>
    <w:rsid w:val="006113D7"/>
    <w:rsid w:val="006179CC"/>
    <w:rsid w:val="00623360"/>
    <w:rsid w:val="00624BC5"/>
    <w:rsid w:val="006448B3"/>
    <w:rsid w:val="00644A41"/>
    <w:rsid w:val="00655627"/>
    <w:rsid w:val="00655983"/>
    <w:rsid w:val="0066437B"/>
    <w:rsid w:val="006669C0"/>
    <w:rsid w:val="00666B3E"/>
    <w:rsid w:val="00666DB2"/>
    <w:rsid w:val="00684775"/>
    <w:rsid w:val="00684C9D"/>
    <w:rsid w:val="00690AC5"/>
    <w:rsid w:val="006961B7"/>
    <w:rsid w:val="006979E5"/>
    <w:rsid w:val="006A2220"/>
    <w:rsid w:val="006A62DD"/>
    <w:rsid w:val="006B1EE5"/>
    <w:rsid w:val="006C1FF0"/>
    <w:rsid w:val="006D6E54"/>
    <w:rsid w:val="006E15D3"/>
    <w:rsid w:val="006E19C9"/>
    <w:rsid w:val="006E3A35"/>
    <w:rsid w:val="006E4F11"/>
    <w:rsid w:val="00702A90"/>
    <w:rsid w:val="00704133"/>
    <w:rsid w:val="00706042"/>
    <w:rsid w:val="00710944"/>
    <w:rsid w:val="00711202"/>
    <w:rsid w:val="00713E05"/>
    <w:rsid w:val="00724083"/>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5CF7"/>
    <w:rsid w:val="00791563"/>
    <w:rsid w:val="007928EB"/>
    <w:rsid w:val="00792B53"/>
    <w:rsid w:val="00797ACE"/>
    <w:rsid w:val="007A36C0"/>
    <w:rsid w:val="007B074B"/>
    <w:rsid w:val="007B4419"/>
    <w:rsid w:val="007B71B8"/>
    <w:rsid w:val="007C4D77"/>
    <w:rsid w:val="007E06C8"/>
    <w:rsid w:val="007E0D5F"/>
    <w:rsid w:val="007E38B0"/>
    <w:rsid w:val="007E5D67"/>
    <w:rsid w:val="007F2F24"/>
    <w:rsid w:val="007F3E54"/>
    <w:rsid w:val="00800970"/>
    <w:rsid w:val="00803623"/>
    <w:rsid w:val="00816724"/>
    <w:rsid w:val="0082418F"/>
    <w:rsid w:val="00825563"/>
    <w:rsid w:val="00831BA6"/>
    <w:rsid w:val="008349B5"/>
    <w:rsid w:val="00837ED8"/>
    <w:rsid w:val="00847A7B"/>
    <w:rsid w:val="00853182"/>
    <w:rsid w:val="008545D8"/>
    <w:rsid w:val="00854C0C"/>
    <w:rsid w:val="00856569"/>
    <w:rsid w:val="00862CB0"/>
    <w:rsid w:val="00863594"/>
    <w:rsid w:val="00876A7D"/>
    <w:rsid w:val="00881FC4"/>
    <w:rsid w:val="00890CC1"/>
    <w:rsid w:val="008A758A"/>
    <w:rsid w:val="008B1DDC"/>
    <w:rsid w:val="008C1EAC"/>
    <w:rsid w:val="008C23F7"/>
    <w:rsid w:val="008D19C0"/>
    <w:rsid w:val="008D5BD5"/>
    <w:rsid w:val="008E55F0"/>
    <w:rsid w:val="008E6A64"/>
    <w:rsid w:val="008F1725"/>
    <w:rsid w:val="008F76A3"/>
    <w:rsid w:val="009041F8"/>
    <w:rsid w:val="009106E1"/>
    <w:rsid w:val="009156CE"/>
    <w:rsid w:val="0092124F"/>
    <w:rsid w:val="00930581"/>
    <w:rsid w:val="00931ED7"/>
    <w:rsid w:val="00932859"/>
    <w:rsid w:val="009368AA"/>
    <w:rsid w:val="009371A5"/>
    <w:rsid w:val="00941D2E"/>
    <w:rsid w:val="00946F88"/>
    <w:rsid w:val="00947DD6"/>
    <w:rsid w:val="00953F2E"/>
    <w:rsid w:val="00956392"/>
    <w:rsid w:val="009565D7"/>
    <w:rsid w:val="00962727"/>
    <w:rsid w:val="00964CCA"/>
    <w:rsid w:val="00965162"/>
    <w:rsid w:val="00965F6E"/>
    <w:rsid w:val="009723CF"/>
    <w:rsid w:val="00973D3C"/>
    <w:rsid w:val="00976166"/>
    <w:rsid w:val="00980F2A"/>
    <w:rsid w:val="00983A89"/>
    <w:rsid w:val="00985FEB"/>
    <w:rsid w:val="009925AF"/>
    <w:rsid w:val="0099321C"/>
    <w:rsid w:val="009A3FDD"/>
    <w:rsid w:val="009A5F3D"/>
    <w:rsid w:val="009C2104"/>
    <w:rsid w:val="009C5CD5"/>
    <w:rsid w:val="009D60B5"/>
    <w:rsid w:val="009E0EDE"/>
    <w:rsid w:val="009E1861"/>
    <w:rsid w:val="009E20F0"/>
    <w:rsid w:val="009E3B2E"/>
    <w:rsid w:val="009F3B5A"/>
    <w:rsid w:val="00A00591"/>
    <w:rsid w:val="00A030B7"/>
    <w:rsid w:val="00A17F69"/>
    <w:rsid w:val="00A20959"/>
    <w:rsid w:val="00A255C0"/>
    <w:rsid w:val="00A268C4"/>
    <w:rsid w:val="00A36790"/>
    <w:rsid w:val="00A453F9"/>
    <w:rsid w:val="00A45F3B"/>
    <w:rsid w:val="00A4627D"/>
    <w:rsid w:val="00A52046"/>
    <w:rsid w:val="00A57422"/>
    <w:rsid w:val="00A63B82"/>
    <w:rsid w:val="00A67B09"/>
    <w:rsid w:val="00A70D2A"/>
    <w:rsid w:val="00A80121"/>
    <w:rsid w:val="00A83604"/>
    <w:rsid w:val="00A84049"/>
    <w:rsid w:val="00A85DFE"/>
    <w:rsid w:val="00A867F0"/>
    <w:rsid w:val="00A91277"/>
    <w:rsid w:val="00A95B08"/>
    <w:rsid w:val="00AA2E7F"/>
    <w:rsid w:val="00AA34F3"/>
    <w:rsid w:val="00AB1852"/>
    <w:rsid w:val="00AB31E5"/>
    <w:rsid w:val="00AB5D20"/>
    <w:rsid w:val="00AB64A6"/>
    <w:rsid w:val="00AB6578"/>
    <w:rsid w:val="00AC481F"/>
    <w:rsid w:val="00AC6F57"/>
    <w:rsid w:val="00AD2470"/>
    <w:rsid w:val="00AD5241"/>
    <w:rsid w:val="00AD5802"/>
    <w:rsid w:val="00AE00AD"/>
    <w:rsid w:val="00AE2286"/>
    <w:rsid w:val="00AE2D7E"/>
    <w:rsid w:val="00AF05F9"/>
    <w:rsid w:val="00B03D2B"/>
    <w:rsid w:val="00B051DB"/>
    <w:rsid w:val="00B166BE"/>
    <w:rsid w:val="00B17B89"/>
    <w:rsid w:val="00B22D1F"/>
    <w:rsid w:val="00B22FCB"/>
    <w:rsid w:val="00B23EAC"/>
    <w:rsid w:val="00B259E3"/>
    <w:rsid w:val="00B269EE"/>
    <w:rsid w:val="00B450EF"/>
    <w:rsid w:val="00B6069A"/>
    <w:rsid w:val="00B640DF"/>
    <w:rsid w:val="00B64599"/>
    <w:rsid w:val="00B64A54"/>
    <w:rsid w:val="00B7144A"/>
    <w:rsid w:val="00B907ED"/>
    <w:rsid w:val="00B94AD5"/>
    <w:rsid w:val="00B96393"/>
    <w:rsid w:val="00B964ED"/>
    <w:rsid w:val="00BA103B"/>
    <w:rsid w:val="00BA35FB"/>
    <w:rsid w:val="00BA46F3"/>
    <w:rsid w:val="00BA4929"/>
    <w:rsid w:val="00BB05AD"/>
    <w:rsid w:val="00BB1A8D"/>
    <w:rsid w:val="00BB400D"/>
    <w:rsid w:val="00BB6367"/>
    <w:rsid w:val="00BB7A86"/>
    <w:rsid w:val="00BC1DA8"/>
    <w:rsid w:val="00BD7485"/>
    <w:rsid w:val="00BD74E3"/>
    <w:rsid w:val="00BE0668"/>
    <w:rsid w:val="00BE1422"/>
    <w:rsid w:val="00BE3753"/>
    <w:rsid w:val="00BE3FCF"/>
    <w:rsid w:val="00C01324"/>
    <w:rsid w:val="00C01C95"/>
    <w:rsid w:val="00C04C76"/>
    <w:rsid w:val="00C103E5"/>
    <w:rsid w:val="00C13F0C"/>
    <w:rsid w:val="00C147EE"/>
    <w:rsid w:val="00C20E74"/>
    <w:rsid w:val="00C3635F"/>
    <w:rsid w:val="00C36FA9"/>
    <w:rsid w:val="00C40541"/>
    <w:rsid w:val="00C44A11"/>
    <w:rsid w:val="00C470E9"/>
    <w:rsid w:val="00C5013C"/>
    <w:rsid w:val="00C51EFA"/>
    <w:rsid w:val="00C524CB"/>
    <w:rsid w:val="00C551FC"/>
    <w:rsid w:val="00C55762"/>
    <w:rsid w:val="00C65357"/>
    <w:rsid w:val="00C66A55"/>
    <w:rsid w:val="00C72473"/>
    <w:rsid w:val="00C729D9"/>
    <w:rsid w:val="00C759BE"/>
    <w:rsid w:val="00C832C6"/>
    <w:rsid w:val="00C8349D"/>
    <w:rsid w:val="00C8440C"/>
    <w:rsid w:val="00C8558A"/>
    <w:rsid w:val="00C85BDD"/>
    <w:rsid w:val="00C91979"/>
    <w:rsid w:val="00C91B20"/>
    <w:rsid w:val="00C91B8C"/>
    <w:rsid w:val="00C92B97"/>
    <w:rsid w:val="00C943E8"/>
    <w:rsid w:val="00C954F8"/>
    <w:rsid w:val="00C96C45"/>
    <w:rsid w:val="00CA2B10"/>
    <w:rsid w:val="00CA7265"/>
    <w:rsid w:val="00CC173D"/>
    <w:rsid w:val="00CC3D24"/>
    <w:rsid w:val="00CD408E"/>
    <w:rsid w:val="00CD7E68"/>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51A60"/>
    <w:rsid w:val="00D63D1A"/>
    <w:rsid w:val="00D64253"/>
    <w:rsid w:val="00D64F47"/>
    <w:rsid w:val="00D6511D"/>
    <w:rsid w:val="00D67B7B"/>
    <w:rsid w:val="00D67CCE"/>
    <w:rsid w:val="00D70A99"/>
    <w:rsid w:val="00D73430"/>
    <w:rsid w:val="00D7694C"/>
    <w:rsid w:val="00D84818"/>
    <w:rsid w:val="00D85C23"/>
    <w:rsid w:val="00D8770E"/>
    <w:rsid w:val="00DA0FE8"/>
    <w:rsid w:val="00DB1E95"/>
    <w:rsid w:val="00DB211C"/>
    <w:rsid w:val="00DB6953"/>
    <w:rsid w:val="00DB7893"/>
    <w:rsid w:val="00DD3D94"/>
    <w:rsid w:val="00DD4D00"/>
    <w:rsid w:val="00DE2452"/>
    <w:rsid w:val="00DF5B53"/>
    <w:rsid w:val="00DF6B84"/>
    <w:rsid w:val="00DF6F0F"/>
    <w:rsid w:val="00DF6FCB"/>
    <w:rsid w:val="00E1505C"/>
    <w:rsid w:val="00E1744D"/>
    <w:rsid w:val="00E21073"/>
    <w:rsid w:val="00E25339"/>
    <w:rsid w:val="00E42EE0"/>
    <w:rsid w:val="00E55278"/>
    <w:rsid w:val="00E55D2C"/>
    <w:rsid w:val="00E60C26"/>
    <w:rsid w:val="00E62193"/>
    <w:rsid w:val="00E77E4F"/>
    <w:rsid w:val="00E80C7E"/>
    <w:rsid w:val="00E82A5B"/>
    <w:rsid w:val="00E82F89"/>
    <w:rsid w:val="00E83419"/>
    <w:rsid w:val="00E85E6C"/>
    <w:rsid w:val="00E873B6"/>
    <w:rsid w:val="00EB5DA5"/>
    <w:rsid w:val="00EB6E6B"/>
    <w:rsid w:val="00EC1B13"/>
    <w:rsid w:val="00EC3564"/>
    <w:rsid w:val="00EC4A7A"/>
    <w:rsid w:val="00EC7D8E"/>
    <w:rsid w:val="00EE2815"/>
    <w:rsid w:val="00EE43FA"/>
    <w:rsid w:val="00EF0A42"/>
    <w:rsid w:val="00EF42B0"/>
    <w:rsid w:val="00EF5D82"/>
    <w:rsid w:val="00F01F87"/>
    <w:rsid w:val="00F02AEB"/>
    <w:rsid w:val="00F05F56"/>
    <w:rsid w:val="00F078CB"/>
    <w:rsid w:val="00F10BF2"/>
    <w:rsid w:val="00F1182A"/>
    <w:rsid w:val="00F24CF6"/>
    <w:rsid w:val="00F255EA"/>
    <w:rsid w:val="00F2647B"/>
    <w:rsid w:val="00F33516"/>
    <w:rsid w:val="00F35358"/>
    <w:rsid w:val="00F35BFA"/>
    <w:rsid w:val="00F35C6C"/>
    <w:rsid w:val="00F42447"/>
    <w:rsid w:val="00F478AD"/>
    <w:rsid w:val="00F50F75"/>
    <w:rsid w:val="00F66389"/>
    <w:rsid w:val="00F71513"/>
    <w:rsid w:val="00F73495"/>
    <w:rsid w:val="00F75B25"/>
    <w:rsid w:val="00F80860"/>
    <w:rsid w:val="00F80ABF"/>
    <w:rsid w:val="00FA6F53"/>
    <w:rsid w:val="00FB14CD"/>
    <w:rsid w:val="00FB2A70"/>
    <w:rsid w:val="00FB2F32"/>
    <w:rsid w:val="00FC09F4"/>
    <w:rsid w:val="00FC1DDE"/>
    <w:rsid w:val="00FC3871"/>
    <w:rsid w:val="00FC4176"/>
    <w:rsid w:val="00FC5417"/>
    <w:rsid w:val="00FE057E"/>
    <w:rsid w:val="00FE1C23"/>
    <w:rsid w:val="00FE2FB5"/>
    <w:rsid w:val="00FF49EA"/>
    <w:rsid w:val="00FF5457"/>
    <w:rsid w:val="00FF7077"/>
    <w:rsid w:val="015A390A"/>
    <w:rsid w:val="037946D6"/>
    <w:rsid w:val="03A46041"/>
    <w:rsid w:val="04B332B4"/>
    <w:rsid w:val="05126B54"/>
    <w:rsid w:val="058A4E6A"/>
    <w:rsid w:val="07664294"/>
    <w:rsid w:val="08433820"/>
    <w:rsid w:val="09003105"/>
    <w:rsid w:val="0A4A6971"/>
    <w:rsid w:val="0A887EEE"/>
    <w:rsid w:val="0BC318A3"/>
    <w:rsid w:val="0E545297"/>
    <w:rsid w:val="0EE26D46"/>
    <w:rsid w:val="0F022F45"/>
    <w:rsid w:val="11160F29"/>
    <w:rsid w:val="1157279B"/>
    <w:rsid w:val="12CC1B8A"/>
    <w:rsid w:val="13D76C5A"/>
    <w:rsid w:val="15780A99"/>
    <w:rsid w:val="159F154C"/>
    <w:rsid w:val="15F31839"/>
    <w:rsid w:val="163A6938"/>
    <w:rsid w:val="16A80F0A"/>
    <w:rsid w:val="16B34F7A"/>
    <w:rsid w:val="18312C10"/>
    <w:rsid w:val="193E2C6B"/>
    <w:rsid w:val="1A7B4A38"/>
    <w:rsid w:val="1B6D1256"/>
    <w:rsid w:val="1C991009"/>
    <w:rsid w:val="1CA90EA4"/>
    <w:rsid w:val="1E491FB2"/>
    <w:rsid w:val="1EA25B65"/>
    <w:rsid w:val="1EA43575"/>
    <w:rsid w:val="1FD66163"/>
    <w:rsid w:val="21866F02"/>
    <w:rsid w:val="218A33B2"/>
    <w:rsid w:val="22161003"/>
    <w:rsid w:val="222F09C5"/>
    <w:rsid w:val="23541AF4"/>
    <w:rsid w:val="244D09C3"/>
    <w:rsid w:val="24C96265"/>
    <w:rsid w:val="24D14DD7"/>
    <w:rsid w:val="25162012"/>
    <w:rsid w:val="25E658C3"/>
    <w:rsid w:val="25ED319C"/>
    <w:rsid w:val="26856D36"/>
    <w:rsid w:val="28E46A5E"/>
    <w:rsid w:val="28EA19CB"/>
    <w:rsid w:val="29246ABB"/>
    <w:rsid w:val="29FF761D"/>
    <w:rsid w:val="2E0A3019"/>
    <w:rsid w:val="30676C54"/>
    <w:rsid w:val="31C75126"/>
    <w:rsid w:val="32725326"/>
    <w:rsid w:val="33E40F52"/>
    <w:rsid w:val="36596E95"/>
    <w:rsid w:val="37A351C6"/>
    <w:rsid w:val="38384BDF"/>
    <w:rsid w:val="38CE5AC2"/>
    <w:rsid w:val="3A5E2974"/>
    <w:rsid w:val="3AD25EE6"/>
    <w:rsid w:val="3B4C2CCE"/>
    <w:rsid w:val="3B93162F"/>
    <w:rsid w:val="3C370020"/>
    <w:rsid w:val="3C7C75E3"/>
    <w:rsid w:val="3D842BF3"/>
    <w:rsid w:val="3E4B7E31"/>
    <w:rsid w:val="3ED56BE8"/>
    <w:rsid w:val="3EEB27FE"/>
    <w:rsid w:val="3F8B3982"/>
    <w:rsid w:val="3F94519F"/>
    <w:rsid w:val="440E587D"/>
    <w:rsid w:val="45980F34"/>
    <w:rsid w:val="459B3CB8"/>
    <w:rsid w:val="45F000D0"/>
    <w:rsid w:val="463A43FC"/>
    <w:rsid w:val="46491A8A"/>
    <w:rsid w:val="46F02A8B"/>
    <w:rsid w:val="49B64550"/>
    <w:rsid w:val="4A897389"/>
    <w:rsid w:val="4B9D42C3"/>
    <w:rsid w:val="4C6A2748"/>
    <w:rsid w:val="50E90E4D"/>
    <w:rsid w:val="51A0391C"/>
    <w:rsid w:val="51A64B48"/>
    <w:rsid w:val="522E10DA"/>
    <w:rsid w:val="52A0325C"/>
    <w:rsid w:val="5408362E"/>
    <w:rsid w:val="546B0211"/>
    <w:rsid w:val="54CC4E94"/>
    <w:rsid w:val="564513C8"/>
    <w:rsid w:val="56495C72"/>
    <w:rsid w:val="56776F8E"/>
    <w:rsid w:val="56970EAC"/>
    <w:rsid w:val="56BA722E"/>
    <w:rsid w:val="56C04251"/>
    <w:rsid w:val="571F0C30"/>
    <w:rsid w:val="57425668"/>
    <w:rsid w:val="57A34234"/>
    <w:rsid w:val="5C26403A"/>
    <w:rsid w:val="5C6E4D42"/>
    <w:rsid w:val="5CF41C3B"/>
    <w:rsid w:val="5D8F082D"/>
    <w:rsid w:val="5E764AC7"/>
    <w:rsid w:val="5EF45E5B"/>
    <w:rsid w:val="5F5F5908"/>
    <w:rsid w:val="607C2B27"/>
    <w:rsid w:val="61AF7CB6"/>
    <w:rsid w:val="61E04C19"/>
    <w:rsid w:val="63235F60"/>
    <w:rsid w:val="64DD6D59"/>
    <w:rsid w:val="65194B65"/>
    <w:rsid w:val="65395EE5"/>
    <w:rsid w:val="66970304"/>
    <w:rsid w:val="671D45D4"/>
    <w:rsid w:val="67C77A4C"/>
    <w:rsid w:val="6855023B"/>
    <w:rsid w:val="68E07CE8"/>
    <w:rsid w:val="68EA280D"/>
    <w:rsid w:val="6AA81580"/>
    <w:rsid w:val="6F2B4197"/>
    <w:rsid w:val="72B2546E"/>
    <w:rsid w:val="72C11AAB"/>
    <w:rsid w:val="73C1083E"/>
    <w:rsid w:val="74E164A9"/>
    <w:rsid w:val="7537110E"/>
    <w:rsid w:val="758B2FAB"/>
    <w:rsid w:val="768014A2"/>
    <w:rsid w:val="76982C90"/>
    <w:rsid w:val="775C1EB9"/>
    <w:rsid w:val="78511434"/>
    <w:rsid w:val="78A250D4"/>
    <w:rsid w:val="794F0D84"/>
    <w:rsid w:val="79DA65D2"/>
    <w:rsid w:val="7AA94228"/>
    <w:rsid w:val="7AE9069F"/>
    <w:rsid w:val="7B3D3B4B"/>
    <w:rsid w:val="7B917DA3"/>
    <w:rsid w:val="7BB218B5"/>
    <w:rsid w:val="7E1B720C"/>
    <w:rsid w:val="7F5B6FC3"/>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semiHidden/>
    <w:unhideWhenUsed/>
    <w:qFormat/>
    <w:uiPriority w:val="99"/>
    <w:pPr>
      <w:spacing w:after="120" w:line="480" w:lineRule="auto"/>
      <w:ind w:left="420" w:leftChars="200"/>
    </w:pPr>
  </w:style>
  <w:style w:type="paragraph" w:styleId="3">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4">
    <w:name w:val="annotation text"/>
    <w:basedOn w:val="1"/>
    <w:link w:val="19"/>
    <w:autoRedefine/>
    <w:qFormat/>
    <w:uiPriority w:val="0"/>
    <w:pPr>
      <w:jc w:val="left"/>
    </w:pPr>
  </w:style>
  <w:style w:type="paragraph" w:styleId="5">
    <w:name w:val="Plain Text"/>
    <w:basedOn w:val="1"/>
    <w:autoRedefine/>
    <w:qFormat/>
    <w:uiPriority w:val="0"/>
    <w:rPr>
      <w:rFonts w:ascii="宋体" w:hAnsi="Courier New" w:cs="Courier New"/>
      <w:szCs w:val="21"/>
    </w:rPr>
  </w:style>
  <w:style w:type="paragraph" w:styleId="6">
    <w:name w:val="Balloon Text"/>
    <w:basedOn w:val="1"/>
    <w:link w:val="18"/>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4"/>
    <w:next w:val="4"/>
    <w:link w:val="20"/>
    <w:autoRedefine/>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Table Paragraph"/>
    <w:basedOn w:val="1"/>
    <w:autoRedefine/>
    <w:qFormat/>
    <w:uiPriority w:val="1"/>
    <w:pPr>
      <w:autoSpaceDE w:val="0"/>
      <w:autoSpaceDN w:val="0"/>
      <w:jc w:val="left"/>
    </w:pPr>
    <w:rPr>
      <w:rFonts w:ascii="Times New Roman" w:hAnsi="Times New Roman" w:eastAsia="Times New Roman" w:cs="Times New Roman"/>
      <w:kern w:val="0"/>
      <w:sz w:val="22"/>
      <w:szCs w:val="22"/>
      <w:lang w:val="zh-CN" w:bidi="zh-CN"/>
    </w:rPr>
  </w:style>
  <w:style w:type="paragraph" w:customStyle="1" w:styleId="16">
    <w:name w:val="Char Char Char Char"/>
    <w:basedOn w:val="1"/>
    <w:qFormat/>
    <w:uiPriority w:val="0"/>
    <w:pPr>
      <w:tabs>
        <w:tab w:val="left" w:pos="425"/>
      </w:tabs>
      <w:ind w:left="425" w:hanging="425"/>
    </w:pPr>
    <w:rPr>
      <w:szCs w:val="20"/>
    </w:rPr>
  </w:style>
  <w:style w:type="paragraph" w:customStyle="1" w:styleId="17">
    <w:name w:val="修订1"/>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框文本 字符"/>
    <w:link w:val="6"/>
    <w:autoRedefine/>
    <w:qFormat/>
    <w:uiPriority w:val="0"/>
    <w:rPr>
      <w:kern w:val="2"/>
      <w:sz w:val="18"/>
      <w:szCs w:val="18"/>
    </w:rPr>
  </w:style>
  <w:style w:type="character" w:customStyle="1" w:styleId="19">
    <w:name w:val="批注文字 字符"/>
    <w:link w:val="4"/>
    <w:qFormat/>
    <w:uiPriority w:val="0"/>
    <w:rPr>
      <w:kern w:val="2"/>
      <w:sz w:val="21"/>
      <w:szCs w:val="24"/>
    </w:rPr>
  </w:style>
  <w:style w:type="character" w:customStyle="1" w:styleId="20">
    <w:name w:val="批注主题 字符"/>
    <w:link w:val="10"/>
    <w:autoRedefine/>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3183</Words>
  <Characters>4655</Characters>
  <TotalTime>1</TotalTime>
  <ScaleCrop>false</ScaleCrop>
  <LinksUpToDate>false</LinksUpToDate>
  <CharactersWithSpaces>4800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2024-09-05T01:12:00Z</dcterms:created>
  <dc:creator>Dell</dc:creator>
  <cp:lastModifiedBy>侯艳冰</cp:lastModifiedBy>
  <dcterms:modified xsi:type="dcterms:W3CDTF">2025-08-25T02:20:04Z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99B3E2C8734E4200AEDCFDDFAB914AA5_12</vt:lpwstr>
  </property>
  <property fmtid="{D5CDD505-2E9C-101B-9397-08002B2CF9AE}" pid="4" name="KSOTemplateDocerSaveRecord">
    <vt:lpwstr>eyJoZGlkIjoiODJiZDc5Zjg5NDE4NjcxOTg4YzdiZmMzM2RlYjhkMzkiLCJ1c2VySWQiOiI2MjA1NzY1MDgifQ==</vt:lpwstr>
  </property>
</Properties>
</file>