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AE07A">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428C312B">
      <w:pPr>
        <w:adjustRightInd w:val="0"/>
        <w:snapToGrid w:val="0"/>
        <w:spacing w:line="500" w:lineRule="exact"/>
        <w:jc w:val="center"/>
        <w:rPr>
          <w:rFonts w:hint="default" w:ascii="仿宋_GB2312" w:hAnsi="宋体" w:eastAsia="仿宋_GB2312"/>
          <w:b/>
          <w:color w:val="000000"/>
          <w:sz w:val="36"/>
          <w:szCs w:val="36"/>
          <w:highlight w:val="none"/>
          <w:lang w:val="en-US" w:eastAsia="zh-CN"/>
        </w:rPr>
      </w:pPr>
      <w:r>
        <w:rPr>
          <w:rFonts w:hint="eastAsia" w:ascii="仿宋_GB2312" w:hAnsi="宋体" w:eastAsia="仿宋_GB2312"/>
          <w:b/>
          <w:color w:val="000000"/>
          <w:sz w:val="36"/>
          <w:szCs w:val="36"/>
          <w:highlight w:val="none"/>
        </w:rPr>
        <w:t>计算机科学与技术（081200）</w:t>
      </w:r>
      <w:r>
        <w:rPr>
          <w:rFonts w:hint="eastAsia" w:ascii="仿宋_GB2312" w:hAnsi="宋体" w:eastAsia="仿宋_GB2312"/>
          <w:b/>
          <w:color w:val="000000"/>
          <w:sz w:val="36"/>
          <w:szCs w:val="36"/>
          <w:highlight w:val="none"/>
          <w:lang w:val="en-US" w:eastAsia="zh-CN"/>
        </w:rPr>
        <w:t>学术学位</w:t>
      </w:r>
    </w:p>
    <w:p w14:paraId="09061C0A">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硕士研究生培养方案</w:t>
      </w:r>
    </w:p>
    <w:p w14:paraId="3A6A90E0">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（从202</w:t>
      </w:r>
      <w:r>
        <w:rPr>
          <w:rFonts w:hint="eastAsia" w:ascii="仿宋_GB2312" w:hAnsi="宋体" w:eastAsia="仿宋_GB2312"/>
          <w:b/>
          <w:color w:val="000000"/>
          <w:sz w:val="36"/>
          <w:szCs w:val="36"/>
          <w:highlight w:val="none"/>
          <w:lang w:val="en-US" w:eastAsia="zh-CN"/>
        </w:rPr>
        <w:t>4</w:t>
      </w:r>
      <w:r>
        <w:rPr>
          <w:rFonts w:hint="eastAsia" w:ascii="仿宋_GB2312" w:hAnsi="宋体" w:eastAsia="仿宋_GB2312"/>
          <w:b/>
          <w:color w:val="000000"/>
          <w:sz w:val="36"/>
          <w:szCs w:val="36"/>
          <w:highlight w:val="none"/>
        </w:rPr>
        <w:t>年级开始执行）</w:t>
      </w:r>
    </w:p>
    <w:p w14:paraId="01A0D47C">
      <w:pPr>
        <w:adjustRightInd w:val="0"/>
        <w:snapToGrid w:val="0"/>
        <w:spacing w:line="500" w:lineRule="exact"/>
        <w:jc w:val="both"/>
        <w:rPr>
          <w:rFonts w:hint="eastAsia" w:ascii="仿宋_GB2312" w:hAnsi="宋体" w:eastAsia="仿宋_GB2312"/>
          <w:b/>
          <w:color w:val="000000"/>
          <w:sz w:val="36"/>
          <w:szCs w:val="36"/>
          <w:highlight w:val="none"/>
        </w:rPr>
      </w:pPr>
    </w:p>
    <w:p w14:paraId="5473FB86">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一、学科介绍</w:t>
      </w:r>
    </w:p>
    <w:p w14:paraId="52869FAE">
      <w:pPr>
        <w:spacing w:line="500" w:lineRule="exact"/>
        <w:ind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4B47E238">
      <w:pPr>
        <w:spacing w:line="500" w:lineRule="exact"/>
        <w:rPr>
          <w:rFonts w:ascii="仿宋_GB2312" w:hAnsi="宋体" w:eastAsia="仿宋_GB2312"/>
          <w:sz w:val="28"/>
          <w:szCs w:val="28"/>
          <w:highlight w:val="none"/>
        </w:rPr>
      </w:pPr>
    </w:p>
    <w:p w14:paraId="3C0BF2F7">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二、培养目标</w:t>
      </w:r>
    </w:p>
    <w:p w14:paraId="5A0184C8">
      <w:pPr>
        <w:adjustRightInd w:val="0"/>
        <w:snapToGrid w:val="0"/>
        <w:spacing w:line="500" w:lineRule="exact"/>
        <w:ind w:firstLine="560" w:firstLineChars="200"/>
        <w:jc w:val="left"/>
        <w:rPr>
          <w:rFonts w:ascii="仿宋_GB2312" w:hAnsi="宋体" w:eastAsia="仿宋_GB2312"/>
          <w:sz w:val="28"/>
          <w:szCs w:val="28"/>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11A46918">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要求学生基本掌握马列主义、毛泽东思想和邓小平理论，热爱祖国，遵纪守法，具有高尚的学术道德、具有高度的敬业精神和严谨的工作态度；具</w:t>
      </w:r>
      <w:r>
        <w:rPr>
          <w:rFonts w:hint="eastAsia" w:eastAsia="仿宋_GB2312"/>
          <w:sz w:val="28"/>
          <w:szCs w:val="28"/>
          <w:highlight w:val="none"/>
        </w:rPr>
        <w:t>有坚实的理论基础，扎实</w:t>
      </w:r>
      <w:r>
        <w:rPr>
          <w:rFonts w:hint="eastAsia" w:ascii="仿宋_GB2312" w:hAnsi="宋体" w:eastAsia="仿宋_GB2312"/>
          <w:sz w:val="28"/>
          <w:szCs w:val="28"/>
          <w:highlight w:val="none"/>
        </w:rPr>
        <w:t>掌握计算机科学与技术专业知识，熟练掌握一门外国语；熟悉计算机科学与技术发展的前沿和动态，具有良好的创新意识和创新思维能力、计算机软及应用系统的分析设计能力；能够综合运用计算机学科的方法和技术分析解决较复杂的实际问题；具备从事计算机及相关领域的科学研究和教学工作的能力，具备承担大型计算机软硬件及应用系统的研发与管理工作的能力。</w:t>
      </w:r>
    </w:p>
    <w:p w14:paraId="013BE617">
      <w:pPr>
        <w:adjustRightInd w:val="0"/>
        <w:snapToGrid w:val="0"/>
        <w:spacing w:line="500" w:lineRule="exact"/>
        <w:ind w:firstLine="560" w:firstLineChars="200"/>
        <w:jc w:val="left"/>
        <w:rPr>
          <w:rFonts w:ascii="仿宋_GB2312" w:hAnsi="华文仿宋" w:eastAsia="仿宋_GB2312"/>
          <w:sz w:val="28"/>
          <w:szCs w:val="28"/>
          <w:highlight w:val="none"/>
        </w:rPr>
      </w:pPr>
    </w:p>
    <w:p w14:paraId="510EAA5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7B1BA9E2">
      <w:pPr>
        <w:ind w:firstLine="560" w:firstLineChars="200"/>
        <w:rPr>
          <w:rFonts w:ascii="仿宋_GB2312" w:hAnsi="宋体" w:eastAsia="仿宋_GB2312"/>
          <w:sz w:val="28"/>
          <w:szCs w:val="28"/>
          <w:highlight w:val="none"/>
        </w:rPr>
      </w:pPr>
      <w:r>
        <w:rPr>
          <w:rFonts w:hint="eastAsia" w:eastAsia="仿宋_GB2312"/>
          <w:sz w:val="28"/>
          <w:szCs w:val="28"/>
          <w:highlight w:val="none"/>
        </w:rPr>
        <w:t>全日制</w:t>
      </w:r>
      <w:r>
        <w:rPr>
          <w:rFonts w:hint="eastAsia" w:eastAsia="仿宋_GB2312"/>
          <w:sz w:val="28"/>
          <w:szCs w:val="28"/>
          <w:highlight w:val="none"/>
          <w:lang w:eastAsia="zh-CN"/>
        </w:rPr>
        <w:t>，</w:t>
      </w:r>
      <w:r>
        <w:rPr>
          <w:rFonts w:hint="eastAsia" w:ascii="仿宋_GB2312" w:hAnsi="宋体" w:eastAsia="仿宋_GB2312"/>
          <w:sz w:val="28"/>
          <w:szCs w:val="28"/>
          <w:highlight w:val="none"/>
        </w:rPr>
        <w:t>学制为三年；每学年由两个学期组成。</w:t>
      </w:r>
      <w:r>
        <w:rPr>
          <w:rFonts w:eastAsia="仿宋_GB2312"/>
          <w:sz w:val="28"/>
          <w:szCs w:val="28"/>
          <w:highlight w:val="none"/>
        </w:rPr>
        <w:t>按照《中山大学研究生学籍管理规定》</w:t>
      </w:r>
      <w:r>
        <w:rPr>
          <w:rFonts w:hint="eastAsia" w:eastAsia="仿宋_GB2312"/>
          <w:sz w:val="28"/>
          <w:szCs w:val="28"/>
          <w:highlight w:val="none"/>
        </w:rPr>
        <w:t>中</w:t>
      </w:r>
      <w:r>
        <w:rPr>
          <w:rFonts w:eastAsia="仿宋_GB2312"/>
          <w:sz w:val="28"/>
          <w:szCs w:val="28"/>
          <w:highlight w:val="none"/>
        </w:rPr>
        <w:t>规定的学制和学习年限执行。</w:t>
      </w:r>
    </w:p>
    <w:p w14:paraId="30676CEF">
      <w:pPr>
        <w:widowControl/>
        <w:jc w:val="left"/>
        <w:rPr>
          <w:highlight w:val="none"/>
        </w:rPr>
      </w:pPr>
    </w:p>
    <w:p w14:paraId="1857D343">
      <w:pPr>
        <w:spacing w:line="500" w:lineRule="exact"/>
        <w:rPr>
          <w:rFonts w:hint="eastAsia" w:ascii="仿宋_GB2312" w:hAnsi="宋体" w:eastAsia="仿宋_GB2312"/>
          <w:b/>
          <w:sz w:val="32"/>
          <w:szCs w:val="32"/>
          <w:highlight w:val="none"/>
          <w:lang w:val="en-US" w:eastAsia="zh-CN"/>
        </w:rPr>
      </w:pPr>
      <w:r>
        <w:rPr>
          <w:rFonts w:hint="eastAsia" w:ascii="仿宋_GB2312" w:hAnsi="宋体" w:eastAsia="仿宋_GB2312"/>
          <w:b/>
          <w:sz w:val="32"/>
          <w:szCs w:val="32"/>
          <w:highlight w:val="none"/>
        </w:rPr>
        <w:t>四、学科特色</w:t>
      </w:r>
      <w:r>
        <w:rPr>
          <w:rFonts w:hint="eastAsia" w:ascii="仿宋_GB2312" w:hAnsi="宋体" w:eastAsia="仿宋_GB2312"/>
          <w:b/>
          <w:sz w:val="32"/>
          <w:szCs w:val="32"/>
          <w:highlight w:val="none"/>
          <w:lang w:val="en-US" w:eastAsia="zh-CN"/>
        </w:rPr>
        <w:t>方向</w:t>
      </w:r>
    </w:p>
    <w:p w14:paraId="2E0FC379">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本方案适用于以下学科方向：</w:t>
      </w:r>
      <w:r>
        <w:rPr>
          <w:rFonts w:ascii="仿宋_GB2312" w:hAnsi="宋体" w:eastAsia="仿宋_GB2312"/>
          <w:sz w:val="28"/>
          <w:szCs w:val="28"/>
          <w:highlight w:val="none"/>
        </w:rPr>
        <w:t xml:space="preserve"> </w:t>
      </w:r>
    </w:p>
    <w:p w14:paraId="0A5C7B0B">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62B38AAD">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11A531DD">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43B181E3">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1DB45974">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0AF54298">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5214563E">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107C4425">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44161021">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320D0C98">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7EE691E3">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28EB6629">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机器学习、计算智能、自然语言处理</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计算机视觉、智能感知与探测、智能决策与控制等。</w:t>
      </w:r>
    </w:p>
    <w:p w14:paraId="123C0543">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726C8272">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5A5C6451">
      <w:pPr>
        <w:spacing w:line="500" w:lineRule="exact"/>
        <w:ind w:firstLine="560" w:firstLineChars="200"/>
        <w:rPr>
          <w:rFonts w:hint="default" w:ascii="仿宋_GB2312" w:hAnsi="宋体" w:eastAsia="仿宋_GB2312"/>
          <w:sz w:val="28"/>
          <w:szCs w:val="28"/>
          <w:highlight w:val="none"/>
          <w:lang w:val="en-US" w:eastAsia="zh-CN"/>
        </w:rPr>
      </w:pPr>
    </w:p>
    <w:p w14:paraId="31B9E1E9">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2A481E42">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3C44967E">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、实行以科研为主导的导师或导师组负责制。导师应有适于培养学生的研究课题和充足的研究经费。导师应与学生定期交流，关心学生的思想品德、学术进展和综合素质，促进其德智体美劳全面发展。</w:t>
      </w:r>
    </w:p>
    <w:p w14:paraId="20A7C493">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学生的培养质量，建立规范化的学术交流和学术报告制度，按期检查培养环节的完成情况。</w:t>
      </w:r>
    </w:p>
    <w:p w14:paraId="4A2C5A40">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5853EE1E">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、课程考试成绩未达到合格要求者，根据课程情况可申请补考或重修，具体考核细则按《中山大学研究生学业考核管理办法》执行。</w:t>
      </w:r>
      <w:r>
        <w:rPr>
          <w:rFonts w:ascii="仿宋_GB2312" w:hAnsi="宋体" w:eastAsia="仿宋_GB2312"/>
          <w:sz w:val="28"/>
          <w:szCs w:val="28"/>
          <w:highlight w:val="none"/>
        </w:rPr>
        <w:t xml:space="preserve"> </w:t>
      </w:r>
    </w:p>
    <w:p w14:paraId="4211CD88">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、符合研究生院免修规定的研究生可免修英语。</w:t>
      </w:r>
    </w:p>
    <w:p w14:paraId="3C2C9D96">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54A3F977">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319EC8D3">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2ACFD4A8">
      <w:pPr>
        <w:adjustRightInd w:val="0"/>
        <w:snapToGrid w:val="0"/>
        <w:spacing w:line="500" w:lineRule="exact"/>
        <w:ind w:firstLine="560" w:firstLineChars="200"/>
        <w:jc w:val="left"/>
        <w:rPr>
          <w:rFonts w:eastAsia="仿宋_GB2312"/>
          <w:sz w:val="28"/>
          <w:szCs w:val="28"/>
          <w:highlight w:val="none"/>
        </w:rPr>
      </w:pPr>
      <w:r>
        <w:rPr>
          <w:rFonts w:hint="eastAsia" w:eastAsia="仿宋_GB2312"/>
          <w:color w:val="000000" w:themeColor="text1"/>
          <w:sz w:val="28"/>
          <w:szCs w:val="28"/>
          <w:highlight w:val="none"/>
          <w14:textFill>
            <w14:solidFill>
              <w14:schemeClr w14:val="tx1"/>
            </w14:solidFill>
          </w14:textFill>
        </w:rPr>
        <w:t>总学分30学分，必修课不少于15学分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多选不限</w:t>
      </w:r>
      <w:r>
        <w:rPr>
          <w:rFonts w:hint="eastAsia" w:eastAsia="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highlight w:val="none"/>
          <w14:textFill>
            <w14:solidFill>
              <w14:schemeClr w14:val="tx1"/>
            </w14:solidFill>
          </w14:textFill>
        </w:rPr>
        <w:t xml:space="preserve"> </w:t>
      </w:r>
    </w:p>
    <w:p w14:paraId="19DE98D2">
      <w:pPr>
        <w:numPr>
          <w:ilvl w:val="0"/>
          <w:numId w:val="1"/>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61C0E038">
      <w:pPr>
        <w:spacing w:line="500" w:lineRule="exact"/>
        <w:rPr>
          <w:rFonts w:hint="default" w:eastAsia="仿宋_GB2312"/>
          <w:sz w:val="28"/>
          <w:szCs w:val="28"/>
          <w:highlight w:val="none"/>
          <w:lang w:val="en-US" w:eastAsia="zh-CN"/>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硕士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612"/>
        <w:gridCol w:w="1035"/>
        <w:gridCol w:w="3240"/>
        <w:gridCol w:w="440"/>
        <w:gridCol w:w="470"/>
        <w:gridCol w:w="1608"/>
        <w:gridCol w:w="1247"/>
      </w:tblGrid>
      <w:tr w14:paraId="0EFBE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Align w:val="center"/>
          </w:tcPr>
          <w:p w14:paraId="19A5DA6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612" w:type="dxa"/>
            <w:vAlign w:val="center"/>
          </w:tcPr>
          <w:p w14:paraId="3009D209">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035" w:type="dxa"/>
            <w:vAlign w:val="center"/>
          </w:tcPr>
          <w:p w14:paraId="1A4C458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3240" w:type="dxa"/>
            <w:vAlign w:val="center"/>
          </w:tcPr>
          <w:p w14:paraId="6641F40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440" w:type="dxa"/>
            <w:vAlign w:val="center"/>
          </w:tcPr>
          <w:p w14:paraId="2088CE1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70" w:type="dxa"/>
            <w:vAlign w:val="center"/>
          </w:tcPr>
          <w:p w14:paraId="340CDE6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1608" w:type="dxa"/>
            <w:vAlign w:val="center"/>
          </w:tcPr>
          <w:p w14:paraId="5F45DD1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247" w:type="dxa"/>
            <w:vAlign w:val="center"/>
          </w:tcPr>
          <w:p w14:paraId="605DF3C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1951B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28" w:type="dxa"/>
            <w:vMerge w:val="restart"/>
            <w:textDirection w:val="tbRlV"/>
            <w:vAlign w:val="center"/>
          </w:tcPr>
          <w:p w14:paraId="0C80A5BC">
            <w:pPr>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不少于15</w:t>
            </w:r>
            <w:r>
              <w:rPr>
                <w:rFonts w:hint="eastAsia" w:eastAsia="仿宋_GB2312"/>
                <w:color w:val="000000" w:themeColor="text1"/>
                <w:kern w:val="0"/>
                <w:sz w:val="18"/>
                <w:szCs w:val="18"/>
                <w:highlight w:val="none"/>
                <w14:textFill>
                  <w14:solidFill>
                    <w14:schemeClr w14:val="tx1"/>
                  </w14:solidFill>
                </w14:textFill>
              </w:rPr>
              <w:t>学分）</w:t>
            </w:r>
          </w:p>
        </w:tc>
        <w:tc>
          <w:tcPr>
            <w:tcW w:w="612" w:type="dxa"/>
            <w:vMerge w:val="restart"/>
            <w:textDirection w:val="tbRlV"/>
          </w:tcPr>
          <w:p w14:paraId="041DD072">
            <w:pPr>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14:textFill>
                  <w14:solidFill>
                    <w14:schemeClr w14:val="tx1"/>
                  </w14:solidFill>
                </w14:textFill>
              </w:rPr>
              <w:t>（5学分）</w:t>
            </w:r>
          </w:p>
        </w:tc>
        <w:tc>
          <w:tcPr>
            <w:tcW w:w="1035" w:type="dxa"/>
            <w:vAlign w:val="center"/>
          </w:tcPr>
          <w:p w14:paraId="4A9F576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MAR5001</w:t>
            </w:r>
          </w:p>
        </w:tc>
        <w:tc>
          <w:tcPr>
            <w:tcW w:w="3240" w:type="dxa"/>
            <w:vAlign w:val="center"/>
          </w:tcPr>
          <w:p w14:paraId="3A34CC02">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新时代中国特色社会主义理论与实践</w:t>
            </w:r>
          </w:p>
          <w:p w14:paraId="51B780B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Theory and Practice of Socialism with Chinese Characteristics for a New Era</w:t>
            </w:r>
          </w:p>
        </w:tc>
        <w:tc>
          <w:tcPr>
            <w:tcW w:w="440" w:type="dxa"/>
            <w:vAlign w:val="center"/>
          </w:tcPr>
          <w:p w14:paraId="33EC6D7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558397B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7D53290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247" w:type="dxa"/>
            <w:vAlign w:val="center"/>
          </w:tcPr>
          <w:p w14:paraId="2F43A96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7B6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46490244">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71695E7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79C906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MAR5002</w:t>
            </w:r>
          </w:p>
        </w:tc>
        <w:tc>
          <w:tcPr>
            <w:tcW w:w="3240" w:type="dxa"/>
            <w:vAlign w:val="center"/>
          </w:tcPr>
          <w:p w14:paraId="0300ABCC">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自然辩证法概论</w:t>
            </w:r>
          </w:p>
          <w:p w14:paraId="01DCC9B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Dialectics of Nature</w:t>
            </w:r>
          </w:p>
        </w:tc>
        <w:tc>
          <w:tcPr>
            <w:tcW w:w="440" w:type="dxa"/>
            <w:vAlign w:val="center"/>
          </w:tcPr>
          <w:p w14:paraId="1110AE1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70" w:type="dxa"/>
            <w:vAlign w:val="center"/>
          </w:tcPr>
          <w:p w14:paraId="01BE1A6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1608" w:type="dxa"/>
            <w:vAlign w:val="center"/>
          </w:tcPr>
          <w:p w14:paraId="1BD4A93A">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247" w:type="dxa"/>
            <w:vMerge w:val="restart"/>
            <w:vAlign w:val="center"/>
          </w:tcPr>
          <w:p w14:paraId="50F5DAD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二选一</w:t>
            </w:r>
          </w:p>
        </w:tc>
      </w:tr>
      <w:tr w14:paraId="142BB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6B0CD8B7">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CDA6BC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3BDD2A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MAR5003</w:t>
            </w:r>
          </w:p>
        </w:tc>
        <w:tc>
          <w:tcPr>
            <w:tcW w:w="3240" w:type="dxa"/>
            <w:vAlign w:val="center"/>
          </w:tcPr>
          <w:p w14:paraId="1E28731B">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马克思主义与社会科学方法论Marxism and The Methodology of Social Science</w:t>
            </w:r>
          </w:p>
        </w:tc>
        <w:tc>
          <w:tcPr>
            <w:tcW w:w="440" w:type="dxa"/>
            <w:vAlign w:val="center"/>
          </w:tcPr>
          <w:p w14:paraId="2508991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70" w:type="dxa"/>
            <w:vAlign w:val="center"/>
          </w:tcPr>
          <w:p w14:paraId="33BCF59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1608" w:type="dxa"/>
            <w:vAlign w:val="center"/>
          </w:tcPr>
          <w:p w14:paraId="563AEA1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247" w:type="dxa"/>
            <w:vMerge w:val="continue"/>
            <w:vAlign w:val="center"/>
          </w:tcPr>
          <w:p w14:paraId="19BC5175">
            <w:pPr>
              <w:jc w:val="center"/>
              <w:rPr>
                <w:rFonts w:eastAsia="仿宋_GB2312"/>
                <w:color w:val="000000" w:themeColor="text1"/>
                <w:kern w:val="0"/>
                <w:sz w:val="18"/>
                <w:szCs w:val="18"/>
                <w:highlight w:val="none"/>
                <w14:textFill>
                  <w14:solidFill>
                    <w14:schemeClr w14:val="tx1"/>
                  </w14:solidFill>
                </w14:textFill>
              </w:rPr>
            </w:pPr>
          </w:p>
        </w:tc>
      </w:tr>
      <w:tr w14:paraId="0883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2B09943F">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A7D775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7F56B8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FL5015</w:t>
            </w:r>
          </w:p>
        </w:tc>
        <w:tc>
          <w:tcPr>
            <w:tcW w:w="3240" w:type="dxa"/>
            <w:vAlign w:val="center"/>
          </w:tcPr>
          <w:p w14:paraId="611F570D">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第一外国语（英语）</w:t>
            </w:r>
          </w:p>
          <w:p w14:paraId="7CFB5C60">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First Foreign Language(English)</w:t>
            </w:r>
          </w:p>
        </w:tc>
        <w:tc>
          <w:tcPr>
            <w:tcW w:w="440" w:type="dxa"/>
            <w:vAlign w:val="center"/>
          </w:tcPr>
          <w:p w14:paraId="013351E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2ADC778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57BF3169">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外国语学院</w:t>
            </w:r>
          </w:p>
        </w:tc>
        <w:tc>
          <w:tcPr>
            <w:tcW w:w="1247" w:type="dxa"/>
            <w:vAlign w:val="center"/>
          </w:tcPr>
          <w:p w14:paraId="29294EB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1B5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6410C91A">
            <w:pPr>
              <w:rPr>
                <w:rFonts w:eastAsia="仿宋_GB2312"/>
                <w:color w:val="000000" w:themeColor="text1"/>
                <w:kern w:val="0"/>
                <w:sz w:val="18"/>
                <w:szCs w:val="18"/>
                <w:highlight w:val="none"/>
                <w14:textFill>
                  <w14:solidFill>
                    <w14:schemeClr w14:val="tx1"/>
                  </w14:solidFill>
                </w14:textFill>
              </w:rPr>
            </w:pPr>
          </w:p>
        </w:tc>
        <w:tc>
          <w:tcPr>
            <w:tcW w:w="612" w:type="dxa"/>
            <w:vMerge w:val="restart"/>
            <w:textDirection w:val="tbRlV"/>
          </w:tcPr>
          <w:p w14:paraId="7A3303EC">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专业基础</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不少于7学分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035" w:type="dxa"/>
            <w:vAlign w:val="center"/>
          </w:tcPr>
          <w:p w14:paraId="5BE5AB7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DCS5709</w:t>
            </w:r>
          </w:p>
        </w:tc>
        <w:tc>
          <w:tcPr>
            <w:tcW w:w="3240" w:type="dxa"/>
            <w:vAlign w:val="center"/>
          </w:tcPr>
          <w:p w14:paraId="75AEC0A7">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学术规范与论文写作</w:t>
            </w:r>
          </w:p>
          <w:p w14:paraId="0F8F7A49">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Academic Norms and Thesis Writing</w:t>
            </w:r>
          </w:p>
        </w:tc>
        <w:tc>
          <w:tcPr>
            <w:tcW w:w="440" w:type="dxa"/>
            <w:vAlign w:val="center"/>
          </w:tcPr>
          <w:p w14:paraId="7EFA1600">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56D15623">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258FA8CE">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247" w:type="dxa"/>
            <w:vAlign w:val="center"/>
          </w:tcPr>
          <w:p w14:paraId="7C29DAC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38A3F2E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0BEBD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24DF5548">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2C851ED">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20105A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DCS5211</w:t>
            </w:r>
          </w:p>
        </w:tc>
        <w:tc>
          <w:tcPr>
            <w:tcW w:w="3240" w:type="dxa"/>
            <w:vAlign w:val="center"/>
          </w:tcPr>
          <w:p w14:paraId="07859DC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6820DF7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Artificial Intelligence</w:t>
            </w:r>
          </w:p>
        </w:tc>
        <w:tc>
          <w:tcPr>
            <w:tcW w:w="440" w:type="dxa"/>
            <w:vAlign w:val="center"/>
          </w:tcPr>
          <w:p w14:paraId="3E056AA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70" w:type="dxa"/>
            <w:vAlign w:val="center"/>
          </w:tcPr>
          <w:p w14:paraId="5E4AEF1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608" w:type="dxa"/>
            <w:vAlign w:val="center"/>
          </w:tcPr>
          <w:p w14:paraId="1F9F0F3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1247" w:type="dxa"/>
            <w:vAlign w:val="center"/>
          </w:tcPr>
          <w:p w14:paraId="47CF410F">
            <w:pPr>
              <w:ind w:firstLine="360" w:firstLineChars="200"/>
              <w:jc w:val="both"/>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p w14:paraId="5F816B19">
            <w:pPr>
              <w:ind w:firstLine="180" w:firstLineChars="100"/>
              <w:jc w:val="both"/>
              <w:rPr>
                <w:rFonts w:hint="default"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3562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1A031DF9">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1503FCA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B1BC612">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DCS5718</w:t>
            </w:r>
          </w:p>
        </w:tc>
        <w:tc>
          <w:tcPr>
            <w:tcW w:w="3240" w:type="dxa"/>
            <w:vAlign w:val="center"/>
          </w:tcPr>
          <w:p w14:paraId="7FFB93A1">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790F0BA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eastAsia="仿宋_GB2312"/>
                <w:color w:val="000000" w:themeColor="text1"/>
                <w:kern w:val="0"/>
                <w:sz w:val="18"/>
                <w:szCs w:val="18"/>
                <w:highlight w:val="none"/>
                <w14:textFill>
                  <w14:solidFill>
                    <w14:schemeClr w14:val="tx1"/>
                  </w14:solidFill>
                </w14:textFill>
              </w:rPr>
              <w:t>Engineering Mathematics</w:t>
            </w:r>
          </w:p>
        </w:tc>
        <w:tc>
          <w:tcPr>
            <w:tcW w:w="440" w:type="dxa"/>
            <w:vAlign w:val="center"/>
          </w:tcPr>
          <w:p w14:paraId="5F97630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70" w:type="dxa"/>
            <w:vAlign w:val="center"/>
          </w:tcPr>
          <w:p w14:paraId="6A72C31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1608" w:type="dxa"/>
            <w:vAlign w:val="center"/>
          </w:tcPr>
          <w:p w14:paraId="6DEF75E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1247" w:type="dxa"/>
            <w:vAlign w:val="center"/>
          </w:tcPr>
          <w:p w14:paraId="1735F648">
            <w:pPr>
              <w:ind w:firstLine="180" w:firstLineChars="100"/>
              <w:jc w:val="left"/>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秋、春</w:t>
            </w:r>
          </w:p>
          <w:p w14:paraId="260218E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（数理课5选1 必选）</w:t>
            </w:r>
          </w:p>
        </w:tc>
      </w:tr>
      <w:tr w14:paraId="048A3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8" w:type="dxa"/>
            <w:vMerge w:val="continue"/>
            <w:vAlign w:val="center"/>
          </w:tcPr>
          <w:p w14:paraId="320B2494">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345BF7A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743588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DCS5708</w:t>
            </w:r>
          </w:p>
        </w:tc>
        <w:tc>
          <w:tcPr>
            <w:tcW w:w="3240" w:type="dxa"/>
            <w:vAlign w:val="center"/>
          </w:tcPr>
          <w:p w14:paraId="7B5354F3">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学术前沿讲座Ⅰ</w:t>
            </w:r>
          </w:p>
          <w:p w14:paraId="46D6D06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Ⅰ</w:t>
            </w:r>
          </w:p>
        </w:tc>
        <w:tc>
          <w:tcPr>
            <w:tcW w:w="440" w:type="dxa"/>
            <w:vAlign w:val="center"/>
          </w:tcPr>
          <w:p w14:paraId="7FCD64F6">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3B179D22">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3C25C6B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导师组</w:t>
            </w:r>
          </w:p>
        </w:tc>
        <w:tc>
          <w:tcPr>
            <w:tcW w:w="1247" w:type="dxa"/>
            <w:vAlign w:val="center"/>
          </w:tcPr>
          <w:p w14:paraId="2EDCBD8A">
            <w:pPr>
              <w:ind w:firstLine="180" w:firstLineChars="100"/>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秋</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14:textFill>
                  <w14:solidFill>
                    <w14:schemeClr w14:val="tx1"/>
                  </w14:solidFill>
                </w14:textFill>
              </w:rPr>
              <w:t>春</w:t>
            </w:r>
          </w:p>
          <w:p w14:paraId="04A79E74">
            <w:pPr>
              <w:ind w:firstLine="180" w:firstLineChars="100"/>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必选</w:t>
            </w:r>
            <w:r>
              <w:rPr>
                <w:rFonts w:hint="eastAsia" w:eastAsia="仿宋_GB2312"/>
                <w:color w:val="000000" w:themeColor="text1"/>
                <w:kern w:val="0"/>
                <w:sz w:val="18"/>
                <w:szCs w:val="18"/>
                <w:highlight w:val="none"/>
                <w:lang w:eastAsia="zh-CN"/>
                <w14:textFill>
                  <w14:solidFill>
                    <w14:schemeClr w14:val="tx1"/>
                  </w14:solidFill>
                </w14:textFill>
              </w:rPr>
              <w:t>）</w:t>
            </w:r>
          </w:p>
        </w:tc>
      </w:tr>
      <w:tr w14:paraId="39ED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325F5CCE">
            <w:pPr>
              <w:rPr>
                <w:rFonts w:eastAsia="仿宋_GB2312"/>
                <w:color w:val="000000" w:themeColor="text1"/>
                <w:kern w:val="0"/>
                <w:sz w:val="18"/>
                <w:szCs w:val="18"/>
                <w:highlight w:val="none"/>
                <w14:textFill>
                  <w14:solidFill>
                    <w14:schemeClr w14:val="tx1"/>
                  </w14:solidFill>
                </w14:textFill>
              </w:rPr>
            </w:pPr>
          </w:p>
        </w:tc>
        <w:tc>
          <w:tcPr>
            <w:tcW w:w="612" w:type="dxa"/>
            <w:vMerge w:val="restart"/>
            <w:textDirection w:val="tbRlV"/>
          </w:tcPr>
          <w:p w14:paraId="27CA3305">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035" w:type="dxa"/>
            <w:vAlign w:val="center"/>
          </w:tcPr>
          <w:p w14:paraId="00DBA17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DCS5210</w:t>
            </w:r>
          </w:p>
        </w:tc>
        <w:tc>
          <w:tcPr>
            <w:tcW w:w="3240" w:type="dxa"/>
            <w:vAlign w:val="center"/>
          </w:tcPr>
          <w:p w14:paraId="7567F09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2748AFD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Algorithms and Programming Techniques</w:t>
            </w:r>
          </w:p>
        </w:tc>
        <w:tc>
          <w:tcPr>
            <w:tcW w:w="440" w:type="dxa"/>
            <w:vAlign w:val="center"/>
          </w:tcPr>
          <w:p w14:paraId="58026E7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70" w:type="dxa"/>
            <w:vAlign w:val="center"/>
          </w:tcPr>
          <w:p w14:paraId="1D0021C7">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608" w:type="dxa"/>
            <w:vAlign w:val="center"/>
          </w:tcPr>
          <w:p w14:paraId="3B6A859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凌应标、戴智明、张子臻、冯剑琳、林瀚</w:t>
            </w:r>
          </w:p>
        </w:tc>
        <w:tc>
          <w:tcPr>
            <w:tcW w:w="1247" w:type="dxa"/>
            <w:vAlign w:val="center"/>
          </w:tcPr>
          <w:p w14:paraId="6DBEAFDC">
            <w:pPr>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p w14:paraId="6845FDC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58BA1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528" w:type="dxa"/>
            <w:vMerge w:val="continue"/>
            <w:vAlign w:val="center"/>
          </w:tcPr>
          <w:p w14:paraId="4FB0A237">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FB2AA1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13940E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DCS5204</w:t>
            </w:r>
          </w:p>
        </w:tc>
        <w:tc>
          <w:tcPr>
            <w:tcW w:w="3240" w:type="dxa"/>
            <w:vAlign w:val="center"/>
          </w:tcPr>
          <w:p w14:paraId="490E55F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26C45EB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Computer Architecture</w:t>
            </w:r>
          </w:p>
        </w:tc>
        <w:tc>
          <w:tcPr>
            <w:tcW w:w="440" w:type="dxa"/>
            <w:vAlign w:val="center"/>
          </w:tcPr>
          <w:p w14:paraId="136290C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70" w:type="dxa"/>
            <w:vAlign w:val="center"/>
          </w:tcPr>
          <w:p w14:paraId="028807E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608" w:type="dxa"/>
            <w:vAlign w:val="center"/>
          </w:tcPr>
          <w:p w14:paraId="32996E3E">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247" w:type="dxa"/>
            <w:vAlign w:val="center"/>
          </w:tcPr>
          <w:p w14:paraId="4154762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4EE228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3A8F7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528" w:type="dxa"/>
            <w:vMerge w:val="continue"/>
            <w:vAlign w:val="center"/>
          </w:tcPr>
          <w:p w14:paraId="2E00D105">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6420D7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shd w:val="clear" w:color="auto" w:fill="auto"/>
            <w:vAlign w:val="center"/>
          </w:tcPr>
          <w:p w14:paraId="1C67AB1F">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DCS5205</w:t>
            </w:r>
          </w:p>
        </w:tc>
        <w:tc>
          <w:tcPr>
            <w:tcW w:w="3240" w:type="dxa"/>
            <w:shd w:val="clear" w:color="auto" w:fill="auto"/>
            <w:vAlign w:val="center"/>
          </w:tcPr>
          <w:p w14:paraId="0B4A9EB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高级数据库技术</w:t>
            </w:r>
          </w:p>
          <w:p w14:paraId="4921EC1F">
            <w:pPr>
              <w:jc w:val="left"/>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Database Technology</w:t>
            </w:r>
          </w:p>
        </w:tc>
        <w:tc>
          <w:tcPr>
            <w:tcW w:w="440" w:type="dxa"/>
            <w:shd w:val="clear" w:color="auto" w:fill="auto"/>
            <w:vAlign w:val="center"/>
          </w:tcPr>
          <w:p w14:paraId="052AB548">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70" w:type="dxa"/>
            <w:shd w:val="clear" w:color="auto" w:fill="auto"/>
            <w:vAlign w:val="center"/>
          </w:tcPr>
          <w:p w14:paraId="10A2F8F6">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608" w:type="dxa"/>
            <w:shd w:val="clear" w:color="auto" w:fill="auto"/>
            <w:vAlign w:val="center"/>
          </w:tcPr>
          <w:p w14:paraId="04748CE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刘玉葆、饶洋辉</w:t>
            </w:r>
          </w:p>
        </w:tc>
        <w:tc>
          <w:tcPr>
            <w:tcW w:w="1247" w:type="dxa"/>
            <w:vAlign w:val="center"/>
          </w:tcPr>
          <w:p w14:paraId="55A72DF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8C97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6699A3CA">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4691FE9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0ABD2E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DCS5716</w:t>
            </w:r>
          </w:p>
        </w:tc>
        <w:tc>
          <w:tcPr>
            <w:tcW w:w="3240" w:type="dxa"/>
            <w:vAlign w:val="center"/>
          </w:tcPr>
          <w:p w14:paraId="29F15F62">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0FAF24D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440" w:type="dxa"/>
            <w:vAlign w:val="center"/>
          </w:tcPr>
          <w:p w14:paraId="4DA3547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70" w:type="dxa"/>
            <w:vAlign w:val="center"/>
          </w:tcPr>
          <w:p w14:paraId="5921D96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1608" w:type="dxa"/>
            <w:vAlign w:val="center"/>
          </w:tcPr>
          <w:p w14:paraId="6A9EC67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郑伟诗、郑慧诚、胡建芳、马锦华、王瑞轩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247" w:type="dxa"/>
            <w:vAlign w:val="center"/>
          </w:tcPr>
          <w:p w14:paraId="6F57528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35C0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0B5808F1">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0C4A693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6A92C8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DCS5220</w:t>
            </w:r>
          </w:p>
          <w:p w14:paraId="786A3A3E">
            <w:pPr>
              <w:jc w:val="both"/>
              <w:rPr>
                <w:rFonts w:hint="eastAsia" w:eastAsia="仿宋_GB2312"/>
                <w:color w:val="000000" w:themeColor="text1"/>
                <w:kern w:val="0"/>
                <w:sz w:val="18"/>
                <w:szCs w:val="18"/>
                <w:highlight w:val="none"/>
                <w:lang w:val="en-US" w:eastAsia="zh-CN"/>
                <w14:textFill>
                  <w14:solidFill>
                    <w14:schemeClr w14:val="tx1"/>
                  </w14:solidFill>
                </w14:textFill>
              </w:rPr>
            </w:pPr>
          </w:p>
        </w:tc>
        <w:tc>
          <w:tcPr>
            <w:tcW w:w="3240" w:type="dxa"/>
            <w:vAlign w:val="center"/>
          </w:tcPr>
          <w:p w14:paraId="62985B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6635944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Network and Information Security Technology</w:t>
            </w:r>
          </w:p>
        </w:tc>
        <w:tc>
          <w:tcPr>
            <w:tcW w:w="440" w:type="dxa"/>
            <w:vAlign w:val="center"/>
          </w:tcPr>
          <w:p w14:paraId="00C4987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70" w:type="dxa"/>
            <w:vAlign w:val="center"/>
          </w:tcPr>
          <w:p w14:paraId="7CF81BC1">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608" w:type="dxa"/>
            <w:vAlign w:val="center"/>
          </w:tcPr>
          <w:p w14:paraId="4449CE3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247" w:type="dxa"/>
            <w:vAlign w:val="center"/>
          </w:tcPr>
          <w:p w14:paraId="3E210C6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C1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3B987DE8">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7B235DB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F6F18C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DCS5225</w:t>
            </w:r>
          </w:p>
        </w:tc>
        <w:tc>
          <w:tcPr>
            <w:tcW w:w="3240" w:type="dxa"/>
            <w:vAlign w:val="center"/>
          </w:tcPr>
          <w:p w14:paraId="23FB478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3C22253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440" w:type="dxa"/>
            <w:vAlign w:val="center"/>
          </w:tcPr>
          <w:p w14:paraId="7E4BF38C">
            <w:pPr>
              <w:jc w:val="center"/>
              <w:rPr>
                <w:rFonts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1A12D6ED">
            <w:pPr>
              <w:jc w:val="center"/>
              <w:rPr>
                <w:rFonts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5F2D948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w:t>
            </w:r>
          </w:p>
        </w:tc>
        <w:tc>
          <w:tcPr>
            <w:tcW w:w="1247" w:type="dxa"/>
            <w:vAlign w:val="center"/>
          </w:tcPr>
          <w:p w14:paraId="534D33B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737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5536DD59">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36C2905">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9EB369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3240" w:type="dxa"/>
            <w:vAlign w:val="center"/>
          </w:tcPr>
          <w:p w14:paraId="67F950D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4A7C2F9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Networks</w:t>
            </w:r>
          </w:p>
        </w:tc>
        <w:tc>
          <w:tcPr>
            <w:tcW w:w="440" w:type="dxa"/>
            <w:vAlign w:val="center"/>
          </w:tcPr>
          <w:p w14:paraId="1A16F6E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70" w:type="dxa"/>
            <w:vAlign w:val="center"/>
          </w:tcPr>
          <w:p w14:paraId="0EE5114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608" w:type="dxa"/>
            <w:vAlign w:val="center"/>
          </w:tcPr>
          <w:p w14:paraId="464499F6">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黄倩怡、谢逸</w:t>
            </w:r>
          </w:p>
        </w:tc>
        <w:tc>
          <w:tcPr>
            <w:tcW w:w="1247" w:type="dxa"/>
            <w:vAlign w:val="center"/>
          </w:tcPr>
          <w:p w14:paraId="39F88C1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317F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28" w:type="dxa"/>
            <w:vMerge w:val="restart"/>
            <w:vAlign w:val="center"/>
          </w:tcPr>
          <w:p w14:paraId="0948C277">
            <w:pP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选修课（建议15学分）</w:t>
            </w:r>
          </w:p>
        </w:tc>
        <w:tc>
          <w:tcPr>
            <w:tcW w:w="612" w:type="dxa"/>
            <w:vMerge w:val="restart"/>
            <w:vAlign w:val="center"/>
          </w:tcPr>
          <w:p w14:paraId="5592081D">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模块1：理论与算法</w:t>
            </w:r>
          </w:p>
        </w:tc>
        <w:tc>
          <w:tcPr>
            <w:tcW w:w="1035" w:type="dxa"/>
            <w:vAlign w:val="center"/>
          </w:tcPr>
          <w:p w14:paraId="2A67E87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3240" w:type="dxa"/>
            <w:vAlign w:val="center"/>
          </w:tcPr>
          <w:p w14:paraId="50865D6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117EF7A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Graph Theory Algorithm</w:t>
            </w:r>
          </w:p>
        </w:tc>
        <w:tc>
          <w:tcPr>
            <w:tcW w:w="440" w:type="dxa"/>
            <w:vAlign w:val="center"/>
          </w:tcPr>
          <w:p w14:paraId="1DEE01D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79FD0CA2">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56812E2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247" w:type="dxa"/>
            <w:vAlign w:val="center"/>
          </w:tcPr>
          <w:p w14:paraId="73D502B1">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47AEB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28" w:type="dxa"/>
            <w:vMerge w:val="continue"/>
            <w:vAlign w:val="center"/>
          </w:tcPr>
          <w:p w14:paraId="2566E7B4">
            <w:pPr>
              <w:rPr>
                <w:rFonts w:hint="eastAsia" w:eastAsia="仿宋_GB2312"/>
                <w:color w:val="000000" w:themeColor="text1"/>
                <w:kern w:val="0"/>
                <w:sz w:val="18"/>
                <w:szCs w:val="18"/>
                <w:highlight w:val="none"/>
                <w:lang w:val="en-US" w:eastAsia="zh-CN"/>
                <w14:textFill>
                  <w14:solidFill>
                    <w14:schemeClr w14:val="tx1"/>
                  </w14:solidFill>
                </w14:textFill>
              </w:rPr>
            </w:pPr>
          </w:p>
        </w:tc>
        <w:tc>
          <w:tcPr>
            <w:tcW w:w="612" w:type="dxa"/>
            <w:vMerge w:val="continue"/>
            <w:vAlign w:val="center"/>
          </w:tcPr>
          <w:p w14:paraId="6BB2F02E">
            <w:pPr>
              <w:rPr>
                <w:rFonts w:hint="eastAsia" w:ascii="仿宋" w:hAnsi="仿宋" w:eastAsia="仿宋" w:cs="F4"/>
                <w:color w:val="000000" w:themeColor="text1"/>
                <w:kern w:val="0"/>
                <w:sz w:val="16"/>
                <w:szCs w:val="16"/>
                <w:highlight w:val="none"/>
                <w14:textFill>
                  <w14:solidFill>
                    <w14:schemeClr w14:val="tx1"/>
                  </w14:solidFill>
                </w14:textFill>
              </w:rPr>
            </w:pPr>
          </w:p>
        </w:tc>
        <w:tc>
          <w:tcPr>
            <w:tcW w:w="1035" w:type="dxa"/>
            <w:vAlign w:val="center"/>
          </w:tcPr>
          <w:p w14:paraId="24AC6B4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3240" w:type="dxa"/>
            <w:vAlign w:val="center"/>
          </w:tcPr>
          <w:p w14:paraId="45ABF7B3">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65D3E21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Numerical Methods for Interface Problems</w:t>
            </w:r>
          </w:p>
        </w:tc>
        <w:tc>
          <w:tcPr>
            <w:tcW w:w="440" w:type="dxa"/>
            <w:vAlign w:val="center"/>
          </w:tcPr>
          <w:p w14:paraId="709ABC8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2D927CAE">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57ED3D2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247" w:type="dxa"/>
            <w:vAlign w:val="center"/>
          </w:tcPr>
          <w:p w14:paraId="4B9B3AD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8932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1EE3E7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4A779E7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187EBF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DCS5254</w:t>
            </w:r>
          </w:p>
        </w:tc>
        <w:tc>
          <w:tcPr>
            <w:tcW w:w="3240" w:type="dxa"/>
            <w:vAlign w:val="center"/>
          </w:tcPr>
          <w:p w14:paraId="46581C5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046D199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440" w:type="dxa"/>
            <w:vAlign w:val="center"/>
          </w:tcPr>
          <w:p w14:paraId="353507C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431E1B3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4651A2E8">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247" w:type="dxa"/>
            <w:vAlign w:val="center"/>
          </w:tcPr>
          <w:p w14:paraId="3715078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28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8E21E87">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554798F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97AA10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3240" w:type="dxa"/>
            <w:vAlign w:val="center"/>
          </w:tcPr>
          <w:p w14:paraId="5B4E936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5410CF5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Functions of Complex Variables</w:t>
            </w:r>
          </w:p>
        </w:tc>
        <w:tc>
          <w:tcPr>
            <w:tcW w:w="440" w:type="dxa"/>
            <w:vAlign w:val="center"/>
          </w:tcPr>
          <w:p w14:paraId="4BF2F49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7D4E83D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56778FF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247" w:type="dxa"/>
            <w:vAlign w:val="center"/>
          </w:tcPr>
          <w:p w14:paraId="6800FD2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B2A3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B17D909">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0E7DE246">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EAEAE8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3240" w:type="dxa"/>
            <w:vAlign w:val="center"/>
          </w:tcPr>
          <w:p w14:paraId="49C6A54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03CABE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440" w:type="dxa"/>
            <w:vAlign w:val="center"/>
          </w:tcPr>
          <w:p w14:paraId="0D070CB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6F96F88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340C4B3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247" w:type="dxa"/>
            <w:vAlign w:val="center"/>
          </w:tcPr>
          <w:p w14:paraId="3F9C4E0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7EE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0CC580E">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DB52A5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DA9526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3240" w:type="dxa"/>
            <w:vAlign w:val="center"/>
          </w:tcPr>
          <w:p w14:paraId="19690D2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4241ABC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Quantum Computation</w:t>
            </w:r>
          </w:p>
        </w:tc>
        <w:tc>
          <w:tcPr>
            <w:tcW w:w="440" w:type="dxa"/>
            <w:vAlign w:val="center"/>
          </w:tcPr>
          <w:p w14:paraId="7B9026D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1878C63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3B22977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247" w:type="dxa"/>
            <w:vAlign w:val="center"/>
          </w:tcPr>
          <w:p w14:paraId="267E7EC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5C0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3EF5B76">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EB715F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1623A7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3240" w:type="dxa"/>
            <w:vAlign w:val="center"/>
          </w:tcPr>
          <w:p w14:paraId="2364C7D4">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440" w:type="dxa"/>
            <w:vAlign w:val="center"/>
          </w:tcPr>
          <w:p w14:paraId="23F0E2C2">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3E44BD0E">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4D7CB40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247" w:type="dxa"/>
            <w:vAlign w:val="center"/>
          </w:tcPr>
          <w:p w14:paraId="2CEB647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707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46F65D2">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6240D94">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3DCCDE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3240" w:type="dxa"/>
            <w:vAlign w:val="center"/>
          </w:tcPr>
          <w:p w14:paraId="2D49DA6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72AC141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Formal Language and Automata</w:t>
            </w:r>
          </w:p>
        </w:tc>
        <w:tc>
          <w:tcPr>
            <w:tcW w:w="440" w:type="dxa"/>
            <w:vAlign w:val="center"/>
          </w:tcPr>
          <w:p w14:paraId="5B3EA58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7602C80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3D6A184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247" w:type="dxa"/>
            <w:vAlign w:val="center"/>
          </w:tcPr>
          <w:p w14:paraId="6096A88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277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66595A9">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885C00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1E9A25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3240" w:type="dxa"/>
            <w:vAlign w:val="center"/>
          </w:tcPr>
          <w:p w14:paraId="69EF338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09F336D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Computer Program Theory and Modeling</w:t>
            </w:r>
          </w:p>
        </w:tc>
        <w:tc>
          <w:tcPr>
            <w:tcW w:w="440" w:type="dxa"/>
            <w:vAlign w:val="center"/>
          </w:tcPr>
          <w:p w14:paraId="4A4B1CF2">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072ABC31">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50AECC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万海</w:t>
            </w:r>
          </w:p>
        </w:tc>
        <w:tc>
          <w:tcPr>
            <w:tcW w:w="1247" w:type="dxa"/>
            <w:vAlign w:val="center"/>
          </w:tcPr>
          <w:p w14:paraId="516E070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19E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BB81BC4">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D60426B">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A3C7AC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DCS5715</w:t>
            </w:r>
          </w:p>
        </w:tc>
        <w:tc>
          <w:tcPr>
            <w:tcW w:w="3240" w:type="dxa"/>
            <w:vAlign w:val="center"/>
          </w:tcPr>
          <w:p w14:paraId="70DB6EC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4F8F4D1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Computability and Mathematical Logic</w:t>
            </w:r>
          </w:p>
        </w:tc>
        <w:tc>
          <w:tcPr>
            <w:tcW w:w="440" w:type="dxa"/>
            <w:vAlign w:val="center"/>
          </w:tcPr>
          <w:p w14:paraId="5AA3391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58DD8270">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608" w:type="dxa"/>
            <w:vAlign w:val="center"/>
          </w:tcPr>
          <w:p w14:paraId="0C795E9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247" w:type="dxa"/>
            <w:vAlign w:val="center"/>
          </w:tcPr>
          <w:p w14:paraId="1FEA1AA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2A6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42A5A8D">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0861540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FEC0FC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3240" w:type="dxa"/>
            <w:vAlign w:val="center"/>
          </w:tcPr>
          <w:p w14:paraId="7FE42EE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5F4471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Introduction to Finite Fields</w:t>
            </w:r>
          </w:p>
        </w:tc>
        <w:tc>
          <w:tcPr>
            <w:tcW w:w="440" w:type="dxa"/>
            <w:vAlign w:val="center"/>
          </w:tcPr>
          <w:p w14:paraId="4E96BA1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5F34F53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2F9E390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247" w:type="dxa"/>
            <w:vAlign w:val="center"/>
          </w:tcPr>
          <w:p w14:paraId="3BEAE87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B81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17F2B91">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12" w:type="dxa"/>
            <w:vMerge w:val="restart"/>
            <w:vAlign w:val="center"/>
          </w:tcPr>
          <w:p w14:paraId="297333A8">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模块2：系统与网络</w:t>
            </w:r>
          </w:p>
        </w:tc>
        <w:tc>
          <w:tcPr>
            <w:tcW w:w="1035" w:type="dxa"/>
            <w:vAlign w:val="center"/>
          </w:tcPr>
          <w:p w14:paraId="0868555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DCS5238</w:t>
            </w:r>
          </w:p>
        </w:tc>
        <w:tc>
          <w:tcPr>
            <w:tcW w:w="3240" w:type="dxa"/>
            <w:vAlign w:val="center"/>
          </w:tcPr>
          <w:p w14:paraId="23346F6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7AAF146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Edge Computing</w:t>
            </w:r>
          </w:p>
        </w:tc>
        <w:tc>
          <w:tcPr>
            <w:tcW w:w="440" w:type="dxa"/>
            <w:vAlign w:val="center"/>
          </w:tcPr>
          <w:p w14:paraId="4F86532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3B8B13A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380F511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247" w:type="dxa"/>
            <w:vAlign w:val="center"/>
          </w:tcPr>
          <w:p w14:paraId="5CA4D4E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B17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75F375F">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12" w:type="dxa"/>
            <w:vMerge w:val="continue"/>
            <w:vAlign w:val="center"/>
          </w:tcPr>
          <w:p w14:paraId="6A436451">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035" w:type="dxa"/>
            <w:vAlign w:val="center"/>
          </w:tcPr>
          <w:p w14:paraId="07D43DF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DCS5231</w:t>
            </w:r>
          </w:p>
        </w:tc>
        <w:tc>
          <w:tcPr>
            <w:tcW w:w="3240" w:type="dxa"/>
            <w:vAlign w:val="center"/>
          </w:tcPr>
          <w:p w14:paraId="115680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0C22840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Big Data Storage Technology</w:t>
            </w:r>
          </w:p>
        </w:tc>
        <w:tc>
          <w:tcPr>
            <w:tcW w:w="440" w:type="dxa"/>
            <w:vAlign w:val="center"/>
          </w:tcPr>
          <w:p w14:paraId="2E528AF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73CB90B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44DAC91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247" w:type="dxa"/>
            <w:vAlign w:val="center"/>
          </w:tcPr>
          <w:p w14:paraId="5AF865E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C42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73520D0">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5033DECF">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05B7E7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DCS5258</w:t>
            </w:r>
          </w:p>
        </w:tc>
        <w:tc>
          <w:tcPr>
            <w:tcW w:w="3240" w:type="dxa"/>
            <w:vAlign w:val="center"/>
          </w:tcPr>
          <w:p w14:paraId="22C5A42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6111A8C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Blockchain Principles and Technologies</w:t>
            </w:r>
          </w:p>
        </w:tc>
        <w:tc>
          <w:tcPr>
            <w:tcW w:w="440" w:type="dxa"/>
            <w:vAlign w:val="center"/>
          </w:tcPr>
          <w:p w14:paraId="5CD85CE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6EEE883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404D629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247" w:type="dxa"/>
            <w:vAlign w:val="center"/>
          </w:tcPr>
          <w:p w14:paraId="04971AD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E94C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7C4A14B">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F7F7F1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34D3F27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DCS5714</w:t>
            </w:r>
          </w:p>
        </w:tc>
        <w:tc>
          <w:tcPr>
            <w:tcW w:w="3240" w:type="dxa"/>
            <w:vAlign w:val="center"/>
          </w:tcPr>
          <w:p w14:paraId="3E7DFBA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667B040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Wireless Communications and Networking</w:t>
            </w:r>
          </w:p>
        </w:tc>
        <w:tc>
          <w:tcPr>
            <w:tcW w:w="440" w:type="dxa"/>
            <w:vAlign w:val="center"/>
          </w:tcPr>
          <w:p w14:paraId="1E77AEF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13565689">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608" w:type="dxa"/>
            <w:vAlign w:val="center"/>
          </w:tcPr>
          <w:p w14:paraId="6A7AEB4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247" w:type="dxa"/>
            <w:vAlign w:val="center"/>
          </w:tcPr>
          <w:p w14:paraId="3C6208B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0DB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3A26E95">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B4E4D8F">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038E37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DCS5712</w:t>
            </w:r>
          </w:p>
        </w:tc>
        <w:tc>
          <w:tcPr>
            <w:tcW w:w="3240" w:type="dxa"/>
            <w:vAlign w:val="center"/>
          </w:tcPr>
          <w:p w14:paraId="455310C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7ADC83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Embedded Systems</w:t>
            </w:r>
          </w:p>
        </w:tc>
        <w:tc>
          <w:tcPr>
            <w:tcW w:w="440" w:type="dxa"/>
            <w:vAlign w:val="center"/>
          </w:tcPr>
          <w:p w14:paraId="2DB4EDA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087DADED">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608" w:type="dxa"/>
            <w:vAlign w:val="center"/>
          </w:tcPr>
          <w:p w14:paraId="7897FD73">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247" w:type="dxa"/>
            <w:vAlign w:val="center"/>
          </w:tcPr>
          <w:p w14:paraId="53E941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632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782245B">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124C4C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B7F108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DCS5713</w:t>
            </w:r>
          </w:p>
        </w:tc>
        <w:tc>
          <w:tcPr>
            <w:tcW w:w="3240" w:type="dxa"/>
            <w:vAlign w:val="center"/>
          </w:tcPr>
          <w:p w14:paraId="27D32DD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5436818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Distributed Systems</w:t>
            </w:r>
          </w:p>
        </w:tc>
        <w:tc>
          <w:tcPr>
            <w:tcW w:w="440" w:type="dxa"/>
            <w:vAlign w:val="center"/>
          </w:tcPr>
          <w:p w14:paraId="4BA8CA9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40ABC0AC">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608" w:type="dxa"/>
            <w:vAlign w:val="center"/>
          </w:tcPr>
          <w:p w14:paraId="46F348B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陈鹏飞</w:t>
            </w:r>
          </w:p>
        </w:tc>
        <w:tc>
          <w:tcPr>
            <w:tcW w:w="1247" w:type="dxa"/>
            <w:vAlign w:val="center"/>
          </w:tcPr>
          <w:p w14:paraId="237DE1E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228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 w:type="dxa"/>
            <w:vMerge w:val="continue"/>
          </w:tcPr>
          <w:p w14:paraId="326D53C3">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3D13CDE5">
            <w:pPr>
              <w:snapToGrid w:val="0"/>
              <w:jc w:val="left"/>
              <w:rPr>
                <w:rFonts w:ascii="仿宋_GB2312" w:hAnsi="宋体" w:eastAsia="仿宋_GB2312"/>
                <w:color w:val="000000" w:themeColor="text1"/>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模块3：AI与大数据</w:t>
            </w:r>
          </w:p>
        </w:tc>
        <w:tc>
          <w:tcPr>
            <w:tcW w:w="1035" w:type="dxa"/>
            <w:vAlign w:val="center"/>
          </w:tcPr>
          <w:p w14:paraId="2A5552F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DCS5206</w:t>
            </w:r>
          </w:p>
        </w:tc>
        <w:tc>
          <w:tcPr>
            <w:tcW w:w="3240" w:type="dxa"/>
            <w:vAlign w:val="center"/>
          </w:tcPr>
          <w:p w14:paraId="1FCDAFD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71CEFBD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Digital Image Processing</w:t>
            </w:r>
          </w:p>
        </w:tc>
        <w:tc>
          <w:tcPr>
            <w:tcW w:w="440" w:type="dxa"/>
            <w:vAlign w:val="center"/>
          </w:tcPr>
          <w:p w14:paraId="4E31384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54</w:t>
            </w:r>
          </w:p>
        </w:tc>
        <w:tc>
          <w:tcPr>
            <w:tcW w:w="470" w:type="dxa"/>
            <w:vAlign w:val="center"/>
          </w:tcPr>
          <w:p w14:paraId="59DF0B4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w:t>
            </w:r>
          </w:p>
        </w:tc>
        <w:tc>
          <w:tcPr>
            <w:tcW w:w="1608" w:type="dxa"/>
            <w:vAlign w:val="center"/>
          </w:tcPr>
          <w:p w14:paraId="3F2BF8F1">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1247" w:type="dxa"/>
            <w:vAlign w:val="center"/>
          </w:tcPr>
          <w:p w14:paraId="46391A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D60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FC3FC86">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AAB03E2">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035" w:type="dxa"/>
            <w:vAlign w:val="center"/>
          </w:tcPr>
          <w:p w14:paraId="1316D08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DCS5232</w:t>
            </w:r>
          </w:p>
        </w:tc>
        <w:tc>
          <w:tcPr>
            <w:tcW w:w="3240" w:type="dxa"/>
            <w:vAlign w:val="center"/>
          </w:tcPr>
          <w:p w14:paraId="2B8A87D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0A144ED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Deep Learning</w:t>
            </w:r>
          </w:p>
        </w:tc>
        <w:tc>
          <w:tcPr>
            <w:tcW w:w="440" w:type="dxa"/>
            <w:vAlign w:val="center"/>
          </w:tcPr>
          <w:p w14:paraId="2612CCD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3C4F216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1F95314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247" w:type="dxa"/>
            <w:vAlign w:val="center"/>
          </w:tcPr>
          <w:p w14:paraId="20F7D28C">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4F34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D81FEF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611E772">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035" w:type="dxa"/>
            <w:vAlign w:val="center"/>
          </w:tcPr>
          <w:p w14:paraId="572B390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DCS5234</w:t>
            </w:r>
          </w:p>
        </w:tc>
        <w:tc>
          <w:tcPr>
            <w:tcW w:w="3240" w:type="dxa"/>
            <w:vAlign w:val="center"/>
          </w:tcPr>
          <w:p w14:paraId="2DD3AE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61A167A8">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Natural Language Processing</w:t>
            </w:r>
          </w:p>
        </w:tc>
        <w:tc>
          <w:tcPr>
            <w:tcW w:w="440" w:type="dxa"/>
            <w:vAlign w:val="center"/>
          </w:tcPr>
          <w:p w14:paraId="35E8308A">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2698D754">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20DA0FE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权小军、潘嵘</w:t>
            </w:r>
          </w:p>
        </w:tc>
        <w:tc>
          <w:tcPr>
            <w:tcW w:w="1247" w:type="dxa"/>
            <w:vAlign w:val="center"/>
          </w:tcPr>
          <w:p w14:paraId="7A4A12C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728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9E2D84D">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7111E9D6">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C5AED4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DCS5257</w:t>
            </w:r>
          </w:p>
        </w:tc>
        <w:tc>
          <w:tcPr>
            <w:tcW w:w="3240" w:type="dxa"/>
            <w:vAlign w:val="center"/>
          </w:tcPr>
          <w:p w14:paraId="207E173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09BDA6D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Principles and Applications of Reinforcement Learning</w:t>
            </w:r>
          </w:p>
        </w:tc>
        <w:tc>
          <w:tcPr>
            <w:tcW w:w="440" w:type="dxa"/>
            <w:vAlign w:val="center"/>
          </w:tcPr>
          <w:p w14:paraId="666B4059">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011BCD0A">
            <w:pPr>
              <w:jc w:val="center"/>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427B4AB9">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247" w:type="dxa"/>
            <w:vAlign w:val="center"/>
          </w:tcPr>
          <w:p w14:paraId="1EE0ADE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537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33F25CA">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67D6389C">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142E87E">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DCS5228</w:t>
            </w:r>
          </w:p>
        </w:tc>
        <w:tc>
          <w:tcPr>
            <w:tcW w:w="3240" w:type="dxa"/>
            <w:vAlign w:val="center"/>
          </w:tcPr>
          <w:p w14:paraId="2019CD3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知识表示与推理</w:t>
            </w:r>
          </w:p>
          <w:p w14:paraId="14E09DF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Knowledge Representation and Reasoning</w:t>
            </w:r>
          </w:p>
        </w:tc>
        <w:tc>
          <w:tcPr>
            <w:tcW w:w="440" w:type="dxa"/>
            <w:vAlign w:val="center"/>
          </w:tcPr>
          <w:p w14:paraId="354884B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2D47ED0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589B886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w:t>
            </w:r>
          </w:p>
        </w:tc>
        <w:tc>
          <w:tcPr>
            <w:tcW w:w="1247" w:type="dxa"/>
            <w:vAlign w:val="center"/>
          </w:tcPr>
          <w:p w14:paraId="4EA6BB3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8090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7580C5D">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6A9BD07B">
            <w:pPr>
              <w:rPr>
                <w:rFonts w:eastAsia="仿宋_GB2312"/>
                <w:color w:val="000000" w:themeColor="text1"/>
                <w:kern w:val="0"/>
                <w:sz w:val="18"/>
                <w:szCs w:val="18"/>
                <w:highlight w:val="none"/>
                <w14:textFill>
                  <w14:solidFill>
                    <w14:schemeClr w14:val="tx1"/>
                  </w14:solidFill>
                </w14:textFill>
              </w:rPr>
            </w:pPr>
          </w:p>
        </w:tc>
        <w:tc>
          <w:tcPr>
            <w:tcW w:w="1035" w:type="dxa"/>
            <w:shd w:val="clear" w:color="auto" w:fill="auto"/>
            <w:vAlign w:val="center"/>
          </w:tcPr>
          <w:p w14:paraId="522597A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DCS5255 </w:t>
            </w:r>
          </w:p>
        </w:tc>
        <w:tc>
          <w:tcPr>
            <w:tcW w:w="3240" w:type="dxa"/>
            <w:shd w:val="clear" w:color="auto" w:fill="auto"/>
            <w:vAlign w:val="center"/>
          </w:tcPr>
          <w:p w14:paraId="7272572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47B2BC6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440" w:type="dxa"/>
            <w:shd w:val="clear" w:color="auto" w:fill="auto"/>
            <w:vAlign w:val="center"/>
          </w:tcPr>
          <w:p w14:paraId="617655C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shd w:val="clear" w:color="auto" w:fill="auto"/>
            <w:vAlign w:val="center"/>
          </w:tcPr>
          <w:p w14:paraId="020018FF">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608" w:type="dxa"/>
            <w:shd w:val="clear" w:color="auto" w:fill="auto"/>
            <w:vAlign w:val="center"/>
          </w:tcPr>
          <w:p w14:paraId="4B642C2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247" w:type="dxa"/>
            <w:shd w:val="clear" w:color="auto" w:fill="auto"/>
            <w:vAlign w:val="top"/>
          </w:tcPr>
          <w:p w14:paraId="2DD3D8BF">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1A26D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6C18371">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5736F96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870AC0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DCS5719</w:t>
            </w:r>
          </w:p>
        </w:tc>
        <w:tc>
          <w:tcPr>
            <w:tcW w:w="3240" w:type="dxa"/>
            <w:vAlign w:val="center"/>
          </w:tcPr>
          <w:p w14:paraId="6B55738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生成式人工智能</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Generative AI</w:t>
            </w:r>
          </w:p>
        </w:tc>
        <w:tc>
          <w:tcPr>
            <w:tcW w:w="440" w:type="dxa"/>
            <w:vAlign w:val="center"/>
          </w:tcPr>
          <w:p w14:paraId="6D10F87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7EC0A38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608" w:type="dxa"/>
            <w:vAlign w:val="center"/>
          </w:tcPr>
          <w:p w14:paraId="02DD79B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林倞、王广润、魏朋旭</w:t>
            </w:r>
          </w:p>
        </w:tc>
        <w:tc>
          <w:tcPr>
            <w:tcW w:w="1247" w:type="dxa"/>
            <w:vAlign w:val="top"/>
          </w:tcPr>
          <w:p w14:paraId="6149F24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ADB8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3CAA0EA">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43B53819">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模块4：安全与隐私</w:t>
            </w:r>
          </w:p>
        </w:tc>
        <w:tc>
          <w:tcPr>
            <w:tcW w:w="1035" w:type="dxa"/>
            <w:vAlign w:val="center"/>
          </w:tcPr>
          <w:p w14:paraId="5615F00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DCS5242</w:t>
            </w:r>
          </w:p>
        </w:tc>
        <w:tc>
          <w:tcPr>
            <w:tcW w:w="3240" w:type="dxa"/>
            <w:vAlign w:val="center"/>
          </w:tcPr>
          <w:p w14:paraId="4E6A6D4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4466390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Topics of Modern Cryptography</w:t>
            </w:r>
          </w:p>
        </w:tc>
        <w:tc>
          <w:tcPr>
            <w:tcW w:w="440" w:type="dxa"/>
            <w:vAlign w:val="center"/>
          </w:tcPr>
          <w:p w14:paraId="1833A7F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6E331FE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1FCB3F1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247" w:type="dxa"/>
            <w:vAlign w:val="center"/>
          </w:tcPr>
          <w:p w14:paraId="126D207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D78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A55A5D1">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F4CF5B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DA3C20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DCS5243</w:t>
            </w:r>
          </w:p>
        </w:tc>
        <w:tc>
          <w:tcPr>
            <w:tcW w:w="3240" w:type="dxa"/>
            <w:vAlign w:val="center"/>
          </w:tcPr>
          <w:p w14:paraId="147EA62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4A9FEA3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Privacy Protection and Secure Computing</w:t>
            </w:r>
          </w:p>
        </w:tc>
        <w:tc>
          <w:tcPr>
            <w:tcW w:w="440" w:type="dxa"/>
            <w:vAlign w:val="center"/>
          </w:tcPr>
          <w:p w14:paraId="26F1022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29D7197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0AD3B57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247" w:type="dxa"/>
            <w:vAlign w:val="center"/>
          </w:tcPr>
          <w:p w14:paraId="3529675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64F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4A0F2E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BC65E0C">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39EAB3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DCS5244</w:t>
            </w:r>
          </w:p>
        </w:tc>
        <w:tc>
          <w:tcPr>
            <w:tcW w:w="3240" w:type="dxa"/>
            <w:vAlign w:val="center"/>
          </w:tcPr>
          <w:p w14:paraId="686F20F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52E28DA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Multimedia Content Security</w:t>
            </w:r>
          </w:p>
        </w:tc>
        <w:tc>
          <w:tcPr>
            <w:tcW w:w="440" w:type="dxa"/>
            <w:vAlign w:val="center"/>
          </w:tcPr>
          <w:p w14:paraId="333F853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7F0DB6A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494A359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247" w:type="dxa"/>
            <w:vAlign w:val="center"/>
          </w:tcPr>
          <w:p w14:paraId="26F86D7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4A2B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E1F6503">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06771C1">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432242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DCS5259</w:t>
            </w:r>
          </w:p>
        </w:tc>
        <w:tc>
          <w:tcPr>
            <w:tcW w:w="3240" w:type="dxa"/>
            <w:vAlign w:val="center"/>
          </w:tcPr>
          <w:p w14:paraId="0D40534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网络安全创新思辨</w:t>
            </w:r>
          </w:p>
          <w:p w14:paraId="38B0DA6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Cyber</w:t>
            </w:r>
          </w:p>
          <w:p w14:paraId="40E10E1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security Innovative Thinking and Critical Reasoning</w:t>
            </w:r>
          </w:p>
        </w:tc>
        <w:tc>
          <w:tcPr>
            <w:tcW w:w="440" w:type="dxa"/>
            <w:vAlign w:val="center"/>
          </w:tcPr>
          <w:p w14:paraId="5075CE2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37B8703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031B1FB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247" w:type="dxa"/>
            <w:vAlign w:val="center"/>
          </w:tcPr>
          <w:p w14:paraId="41F6C8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079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D9B27E4">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1A3630DA">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模块5：软件与应用</w:t>
            </w:r>
          </w:p>
        </w:tc>
        <w:tc>
          <w:tcPr>
            <w:tcW w:w="1035" w:type="dxa"/>
            <w:vAlign w:val="center"/>
          </w:tcPr>
          <w:p w14:paraId="3B78D49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DCS5246</w:t>
            </w:r>
          </w:p>
        </w:tc>
        <w:tc>
          <w:tcPr>
            <w:tcW w:w="3240" w:type="dxa"/>
            <w:vAlign w:val="center"/>
          </w:tcPr>
          <w:p w14:paraId="50BFA72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3D595EB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Object-oriented Technology</w:t>
            </w:r>
          </w:p>
        </w:tc>
        <w:tc>
          <w:tcPr>
            <w:tcW w:w="440" w:type="dxa"/>
            <w:vAlign w:val="center"/>
          </w:tcPr>
          <w:p w14:paraId="6276693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68C4091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1315603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247" w:type="dxa"/>
            <w:vAlign w:val="center"/>
          </w:tcPr>
          <w:p w14:paraId="1ED73FD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8EC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05EED24C">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81E661B">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46245A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3240" w:type="dxa"/>
            <w:vAlign w:val="center"/>
          </w:tcPr>
          <w:p w14:paraId="102A3F4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44B1FAD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Computational Visual Media</w:t>
            </w:r>
          </w:p>
        </w:tc>
        <w:tc>
          <w:tcPr>
            <w:tcW w:w="440" w:type="dxa"/>
            <w:vAlign w:val="center"/>
          </w:tcPr>
          <w:p w14:paraId="2789F1E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26DF0F53">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4698B56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14:textFill>
                  <w14:solidFill>
                    <w14:schemeClr w14:val="tx1"/>
                  </w14:solidFill>
                </w14:textFill>
              </w:rPr>
              <w:t>刘宁</w:t>
            </w:r>
          </w:p>
        </w:tc>
        <w:tc>
          <w:tcPr>
            <w:tcW w:w="1247" w:type="dxa"/>
            <w:vAlign w:val="center"/>
          </w:tcPr>
          <w:p w14:paraId="4EB0AFE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C6B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28" w:type="dxa"/>
            <w:vMerge w:val="continue"/>
          </w:tcPr>
          <w:p w14:paraId="21D4EF20">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ADA51A1">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4BC69F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3240" w:type="dxa"/>
            <w:vAlign w:val="center"/>
          </w:tcPr>
          <w:p w14:paraId="69FF388A">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6584C84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Virtual Reality and Visualization</w:t>
            </w:r>
          </w:p>
        </w:tc>
        <w:tc>
          <w:tcPr>
            <w:tcW w:w="440" w:type="dxa"/>
            <w:vAlign w:val="center"/>
          </w:tcPr>
          <w:p w14:paraId="14DDBA5A">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0C9EF04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2717A37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247" w:type="dxa"/>
            <w:vAlign w:val="center"/>
          </w:tcPr>
          <w:p w14:paraId="35A681D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A6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9CDC864">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487C26D8">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模块6：交叉科学</w:t>
            </w:r>
          </w:p>
        </w:tc>
        <w:tc>
          <w:tcPr>
            <w:tcW w:w="1035" w:type="dxa"/>
            <w:vAlign w:val="center"/>
          </w:tcPr>
          <w:p w14:paraId="7DD4229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3240" w:type="dxa"/>
            <w:vAlign w:val="center"/>
          </w:tcPr>
          <w:p w14:paraId="03310CE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3F62A82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Bioinformatics Computing</w:t>
            </w:r>
          </w:p>
        </w:tc>
        <w:tc>
          <w:tcPr>
            <w:tcW w:w="440" w:type="dxa"/>
            <w:vAlign w:val="center"/>
          </w:tcPr>
          <w:p w14:paraId="5BCFB5F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51F13E1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1611C93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247" w:type="dxa"/>
            <w:vAlign w:val="center"/>
          </w:tcPr>
          <w:p w14:paraId="7F541DF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74F4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06CC7F9E">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72F3995">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24F4D3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3240" w:type="dxa"/>
            <w:vAlign w:val="center"/>
          </w:tcPr>
          <w:p w14:paraId="562AE3D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7C0F7C1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 for Science</w:t>
            </w:r>
          </w:p>
        </w:tc>
        <w:tc>
          <w:tcPr>
            <w:tcW w:w="440" w:type="dxa"/>
            <w:vAlign w:val="center"/>
          </w:tcPr>
          <w:p w14:paraId="7F429CA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6D9F1A2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7066CB3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247" w:type="dxa"/>
            <w:vAlign w:val="center"/>
          </w:tcPr>
          <w:p w14:paraId="4A9F090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F16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6B257EF">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6D777B4">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1EBA47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DCS5702</w:t>
            </w:r>
          </w:p>
        </w:tc>
        <w:tc>
          <w:tcPr>
            <w:tcW w:w="3240" w:type="dxa"/>
            <w:vAlign w:val="center"/>
          </w:tcPr>
          <w:p w14:paraId="4794D75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440" w:type="dxa"/>
            <w:vAlign w:val="center"/>
          </w:tcPr>
          <w:p w14:paraId="753AA61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1FA5737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608" w:type="dxa"/>
            <w:vAlign w:val="center"/>
          </w:tcPr>
          <w:p w14:paraId="1A64266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247" w:type="dxa"/>
            <w:vAlign w:val="center"/>
          </w:tcPr>
          <w:p w14:paraId="345C8E9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bl>
    <w:p w14:paraId="5BE30708">
      <w:pPr>
        <w:spacing w:line="500" w:lineRule="exact"/>
        <w:rPr>
          <w:rFonts w:hint="default" w:eastAsia="仿宋_GB2312"/>
          <w:color w:val="000000" w:themeColor="text1"/>
          <w:sz w:val="28"/>
          <w:szCs w:val="28"/>
          <w:highlight w:val="none"/>
          <w:lang w:val="en-US" w:eastAsia="zh-CN"/>
          <w14:textFill>
            <w14:solidFill>
              <w14:schemeClr w14:val="tx1"/>
            </w14:solidFill>
          </w14:textFill>
        </w:rPr>
      </w:pPr>
    </w:p>
    <w:p w14:paraId="71304129">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6F60CCD7">
      <w:pPr>
        <w:adjustRightInd w:val="0"/>
        <w:snapToGrid w:val="0"/>
        <w:spacing w:line="500" w:lineRule="exact"/>
        <w:ind w:firstLine="560" w:firstLineChars="200"/>
        <w:jc w:val="left"/>
        <w:rPr>
          <w:rFonts w:eastAsia="仿宋_GB2312"/>
          <w:sz w:val="28"/>
          <w:szCs w:val="28"/>
          <w:highlight w:val="none"/>
        </w:rPr>
      </w:pPr>
      <w:r>
        <w:rPr>
          <w:rFonts w:hint="eastAsia" w:ascii="仿宋_GB2312" w:hAnsi="宋体" w:eastAsia="仿宋_GB2312"/>
          <w:sz w:val="28"/>
          <w:szCs w:val="28"/>
          <w:highlight w:val="none"/>
        </w:rPr>
        <w:t>严格按照中山大学《学位与研究生教育工作手册》的有关规定执行，除完成课程学习任务并修满规定的学分外，要求研究生完成各个培养环节</w:t>
      </w:r>
      <w:r>
        <w:rPr>
          <w:rFonts w:hint="eastAsia" w:eastAsia="仿宋_GB2312"/>
          <w:sz w:val="28"/>
          <w:szCs w:val="28"/>
          <w:highlight w:val="none"/>
        </w:rPr>
        <w:t>规定的内容。主要环节及要求包括：</w:t>
      </w:r>
    </w:p>
    <w:p w14:paraId="0B022422">
      <w:pPr>
        <w:adjustRightInd w:val="0"/>
        <w:snapToGrid w:val="0"/>
        <w:spacing w:line="500" w:lineRule="exact"/>
        <w:ind w:firstLine="560" w:firstLineChars="200"/>
        <w:jc w:val="left"/>
        <w:rPr>
          <w:rFonts w:ascii="仿宋" w:hAnsi="仿宋" w:eastAsia="仿宋" w:cs="仿宋"/>
          <w:color w:val="000000"/>
          <w:kern w:val="0"/>
          <w:sz w:val="28"/>
          <w:szCs w:val="28"/>
          <w:highlight w:val="none"/>
        </w:rPr>
      </w:pPr>
      <w:r>
        <w:rPr>
          <w:rFonts w:hint="eastAsia" w:eastAsia="仿宋_GB2312"/>
          <w:sz w:val="28"/>
          <w:szCs w:val="28"/>
          <w:highlight w:val="none"/>
        </w:rPr>
        <w:t>1、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6730D107">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2、读书报告：学生在读期间应认真阅读一定数量的国内外文献（至少</w:t>
      </w:r>
      <w:r>
        <w:rPr>
          <w:rFonts w:ascii="仿宋_GB2312" w:hAnsi="宋体" w:eastAsia="仿宋_GB2312"/>
          <w:sz w:val="28"/>
          <w:szCs w:val="28"/>
          <w:highlight w:val="none"/>
        </w:rPr>
        <w:t xml:space="preserve"> 50 </w:t>
      </w:r>
      <w:r>
        <w:rPr>
          <w:rFonts w:hint="eastAsia" w:ascii="仿宋_GB2312" w:hAnsi="宋体" w:eastAsia="仿宋_GB2312"/>
          <w:sz w:val="28"/>
          <w:szCs w:val="28"/>
          <w:highlight w:val="none"/>
        </w:rPr>
        <w:t>篇），写出综述报告，由导师对研究生阅读文献进行检查。读书报告可结合开题报告进行。</w:t>
      </w:r>
    </w:p>
    <w:p w14:paraId="795B393A">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3、学术活动：硕士研究生在学期间要求至少参加</w:t>
      </w:r>
      <w:r>
        <w:rPr>
          <w:rFonts w:ascii="仿宋_GB2312" w:hAnsi="宋体" w:eastAsia="仿宋_GB2312"/>
          <w:sz w:val="28"/>
          <w:szCs w:val="28"/>
          <w:highlight w:val="none"/>
        </w:rPr>
        <w:t xml:space="preserve"> 5 </w:t>
      </w:r>
      <w:r>
        <w:rPr>
          <w:rFonts w:hint="eastAsia" w:ascii="仿宋_GB2312" w:hAnsi="宋体" w:eastAsia="仿宋_GB2312"/>
          <w:sz w:val="28"/>
          <w:szCs w:val="28"/>
          <w:highlight w:val="none"/>
        </w:rPr>
        <w:t>次以上的学术讲座，学术活动在研究生学位论文答辩前完成。</w:t>
      </w:r>
    </w:p>
    <w:p w14:paraId="0DD960A1">
      <w:pPr>
        <w:adjustRightInd/>
        <w:snapToGrid w:val="0"/>
        <w:spacing w:line="500" w:lineRule="exact"/>
        <w:ind w:firstLine="560" w:firstLineChars="200"/>
        <w:jc w:val="both"/>
        <w:rPr>
          <w:rFonts w:ascii="仿宋_GB2312" w:hAnsi="宋体" w:eastAsia="仿宋_GB2312"/>
          <w:sz w:val="28"/>
          <w:szCs w:val="28"/>
          <w:highlight w:val="none"/>
        </w:rPr>
      </w:pPr>
      <w:r>
        <w:rPr>
          <w:rFonts w:hint="eastAsia" w:ascii="仿宋_GB2312" w:hAnsi="宋体" w:eastAsia="仿宋_GB2312"/>
          <w:sz w:val="28"/>
          <w:szCs w:val="28"/>
          <w:highlight w:val="none"/>
        </w:rPr>
        <w:t>4、开题报告：</w:t>
      </w:r>
      <w:r>
        <w:rPr>
          <w:rFonts w:hint="eastAsia" w:ascii="仿宋_GB2312" w:hAnsi="宋体" w:eastAsia="仿宋_GB2312"/>
          <w:sz w:val="28"/>
          <w:szCs w:val="28"/>
          <w:highlight w:val="none"/>
          <w:lang w:val="en-US" w:eastAsia="zh-CN"/>
        </w:rPr>
        <w:t>研究生开题报告工作一般安排在第二学年秋季学期进行。</w:t>
      </w:r>
      <w:r>
        <w:rPr>
          <w:rFonts w:hint="eastAsia" w:eastAsia="仿宋_GB2312"/>
          <w:sz w:val="28"/>
          <w:szCs w:val="28"/>
          <w:highlight w:val="none"/>
        </w:rPr>
        <w:t>具体按照学校及学院开题及中期考核的相关要求执行。</w:t>
      </w:r>
      <w:r>
        <w:rPr>
          <w:rFonts w:ascii="仿宋_GB2312" w:hAnsi="宋体" w:eastAsia="仿宋_GB2312"/>
          <w:sz w:val="28"/>
          <w:szCs w:val="28"/>
          <w:highlight w:val="none"/>
        </w:rPr>
        <w:t xml:space="preserve"> </w:t>
      </w:r>
    </w:p>
    <w:p w14:paraId="060537A4">
      <w:pPr>
        <w:adjustRightInd/>
        <w:snapToGrid w:val="0"/>
        <w:spacing w:line="500" w:lineRule="exact"/>
        <w:ind w:firstLine="560" w:firstLineChars="200"/>
        <w:jc w:val="both"/>
        <w:rPr>
          <w:rFonts w:ascii="Times New Roman" w:hAnsi="Times New Roman" w:eastAsia="仿宋_GB2312"/>
          <w:sz w:val="28"/>
          <w:szCs w:val="28"/>
          <w:highlight w:val="none"/>
        </w:rPr>
      </w:pPr>
      <w:r>
        <w:rPr>
          <w:rFonts w:hint="eastAsia" w:ascii="仿宋_GB2312" w:hAnsi="宋体" w:eastAsia="仿宋_GB2312"/>
          <w:sz w:val="28"/>
          <w:szCs w:val="28"/>
          <w:highlight w:val="none"/>
        </w:rPr>
        <w:t>5、中期</w:t>
      </w:r>
      <w:r>
        <w:rPr>
          <w:rFonts w:hint="eastAsia" w:ascii="仿宋_GB2312" w:hAnsi="宋体" w:eastAsia="仿宋_GB2312"/>
          <w:sz w:val="28"/>
          <w:szCs w:val="28"/>
          <w:highlight w:val="none"/>
          <w:lang w:val="en-US" w:eastAsia="zh-CN"/>
        </w:rPr>
        <w:t>考核</w:t>
      </w:r>
      <w:r>
        <w:rPr>
          <w:rFonts w:hint="eastAsia" w:ascii="仿宋_GB2312" w:hAnsi="宋体" w:eastAsia="仿宋_GB2312"/>
          <w:sz w:val="28"/>
          <w:szCs w:val="28"/>
          <w:highlight w:val="none"/>
        </w:rPr>
        <w:t>：</w:t>
      </w:r>
      <w:r>
        <w:rPr>
          <w:rFonts w:hint="eastAsia" w:ascii="Times New Roman" w:hAnsi="Times New Roman" w:eastAsia="仿宋_GB2312" w:cs="Times New Roman"/>
          <w:kern w:val="2"/>
          <w:sz w:val="28"/>
          <w:szCs w:val="28"/>
          <w:highlight w:val="none"/>
        </w:rPr>
        <w:t>研究生中期考核工作</w:t>
      </w:r>
      <w:r>
        <w:rPr>
          <w:rFonts w:hint="eastAsia" w:ascii="Times New Roman" w:hAnsi="Times New Roman" w:eastAsia="仿宋_GB2312" w:cs="Times New Roman"/>
          <w:kern w:val="2"/>
          <w:sz w:val="28"/>
          <w:szCs w:val="28"/>
          <w:highlight w:val="none"/>
          <w:lang w:val="en-US" w:eastAsia="zh-CN" w:bidi="ar-SA"/>
        </w:rPr>
        <w:t>一般</w:t>
      </w:r>
      <w:r>
        <w:rPr>
          <w:rFonts w:hint="eastAsia" w:ascii="Times New Roman" w:hAnsi="Times New Roman" w:eastAsia="仿宋_GB2312" w:cs="Times New Roman"/>
          <w:kern w:val="2"/>
          <w:sz w:val="28"/>
          <w:szCs w:val="28"/>
          <w:highlight w:val="none"/>
        </w:rPr>
        <w:t>安排在第二学年春季学期进行</w:t>
      </w:r>
      <w:r>
        <w:rPr>
          <w:rFonts w:hint="eastAsia" w:ascii="仿宋_GB2312" w:hAnsi="宋体" w:eastAsia="仿宋_GB2312"/>
          <w:sz w:val="24"/>
          <w:szCs w:val="24"/>
          <w:highlight w:val="none"/>
          <w:lang w:val="en-US" w:eastAsia="zh-CN"/>
        </w:rPr>
        <w:t>。</w:t>
      </w:r>
      <w:bookmarkStart w:id="0" w:name="_Hlk164006240"/>
      <w:r>
        <w:rPr>
          <w:rFonts w:hint="eastAsia" w:eastAsia="仿宋_GB2312"/>
          <w:sz w:val="28"/>
          <w:szCs w:val="28"/>
          <w:highlight w:val="none"/>
        </w:rPr>
        <w:t>具体按照学校及学院开题及中期考核的相关要求执行。</w:t>
      </w:r>
      <w:bookmarkEnd w:id="0"/>
    </w:p>
    <w:p w14:paraId="34D19288">
      <w:pPr>
        <w:spacing w:line="500" w:lineRule="exact"/>
      </w:pPr>
    </w:p>
    <w:p w14:paraId="7A5733F0">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126D56D0">
      <w:pPr>
        <w:adjustRightInd w:val="0"/>
        <w:snapToGrid w:val="0"/>
        <w:spacing w:line="500" w:lineRule="exact"/>
        <w:ind w:firstLine="560" w:firstLineChars="200"/>
        <w:jc w:val="lef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、学生在导师指导下确定论文选题，</w:t>
      </w:r>
      <w:r>
        <w:rPr>
          <w:rFonts w:hint="eastAsia" w:ascii="仿宋_GB2312" w:hAnsi="宋体" w:eastAsia="仿宋_GB2312"/>
          <w:sz w:val="28"/>
          <w:szCs w:val="28"/>
          <w:highlight w:val="none"/>
          <w:lang w:val="en-US" w:eastAsia="zh-CN"/>
        </w:rPr>
        <w:t>应努力体现本专业的学科前沿、社会发展与国民经济建设的需要，有一定科学意义或应用价值，有利于研究生对所学的专业理论和知识的综合运用，有利于科研能力的训练与提高。</w:t>
      </w:r>
    </w:p>
    <w:p w14:paraId="22493BF3">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学位论文的格式规范参照</w:t>
      </w:r>
      <w:r>
        <w:rPr>
          <w:rFonts w:hint="eastAsia" w:ascii="仿宋_GB2312" w:hAnsi="宋体" w:eastAsia="仿宋_GB2312"/>
          <w:sz w:val="28"/>
          <w:szCs w:val="28"/>
          <w:highlight w:val="none"/>
        </w:rPr>
        <w:t>《中山大学</w:t>
      </w:r>
      <w:r>
        <w:rPr>
          <w:rFonts w:hint="eastAsia" w:ascii="仿宋_GB2312" w:hAnsi="宋体" w:eastAsia="仿宋_GB2312"/>
          <w:sz w:val="28"/>
          <w:szCs w:val="28"/>
          <w:highlight w:val="none"/>
          <w:lang w:val="en-US" w:eastAsia="zh-CN"/>
        </w:rPr>
        <w:t>研究生学位论文格式要求</w:t>
      </w:r>
      <w:r>
        <w:rPr>
          <w:rFonts w:hint="eastAsia" w:ascii="仿宋_GB2312" w:hAnsi="宋体" w:eastAsia="仿宋_GB2312"/>
          <w:sz w:val="28"/>
          <w:szCs w:val="28"/>
          <w:highlight w:val="none"/>
        </w:rPr>
        <w:t>》执行。</w:t>
      </w:r>
    </w:p>
    <w:p w14:paraId="560B901D">
      <w:pPr>
        <w:adjustRightInd w:val="0"/>
        <w:snapToGrid w:val="0"/>
        <w:spacing w:line="500" w:lineRule="exact"/>
        <w:jc w:val="left"/>
        <w:rPr>
          <w:rFonts w:ascii="仿宋_GB2312" w:hAnsi="华文仿宋" w:eastAsia="仿宋_GB2312"/>
          <w:sz w:val="28"/>
          <w:szCs w:val="28"/>
          <w:highlight w:val="none"/>
        </w:rPr>
      </w:pPr>
    </w:p>
    <w:p w14:paraId="09FFACDC">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九、论文答辩与学位授予</w:t>
      </w:r>
    </w:p>
    <w:p w14:paraId="660A1724">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、论文评审与答辩</w:t>
      </w:r>
      <w:r>
        <w:rPr>
          <w:rFonts w:ascii="仿宋_GB2312" w:hAnsi="宋体" w:eastAsia="仿宋_GB2312"/>
          <w:sz w:val="28"/>
          <w:szCs w:val="28"/>
          <w:highlight w:val="none"/>
        </w:rPr>
        <w:t xml:space="preserve"> </w:t>
      </w:r>
    </w:p>
    <w:p w14:paraId="3C805BF5">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学生必须完成培养方案中规定的所有环节，成绩合格，修满</w:t>
      </w:r>
      <w:r>
        <w:rPr>
          <w:rFonts w:hint="eastAsia" w:ascii="仿宋_GB2312" w:hAnsi="宋体" w:eastAsia="仿宋_GB2312"/>
          <w:sz w:val="28"/>
          <w:szCs w:val="28"/>
          <w:highlight w:val="none"/>
          <w:lang w:val="en-US" w:eastAsia="zh-CN"/>
        </w:rPr>
        <w:t>培养方案</w:t>
      </w:r>
      <w:r>
        <w:rPr>
          <w:rFonts w:hint="eastAsia" w:ascii="仿宋_GB2312" w:hAnsi="宋体" w:eastAsia="仿宋_GB2312"/>
          <w:sz w:val="28"/>
          <w:szCs w:val="28"/>
          <w:highlight w:val="none"/>
        </w:rPr>
        <w:t>规定</w:t>
      </w:r>
      <w:r>
        <w:rPr>
          <w:rFonts w:hint="eastAsia" w:ascii="仿宋_GB2312" w:hAnsi="宋体" w:eastAsia="仿宋_GB2312"/>
          <w:sz w:val="28"/>
          <w:szCs w:val="28"/>
          <w:highlight w:val="none"/>
          <w:lang w:val="en-US" w:eastAsia="zh-CN"/>
        </w:rPr>
        <w:t>的</w:t>
      </w:r>
      <w:r>
        <w:rPr>
          <w:rFonts w:hint="eastAsia" w:ascii="仿宋_GB2312" w:hAnsi="宋体" w:eastAsia="仿宋_GB2312"/>
          <w:sz w:val="28"/>
          <w:szCs w:val="28"/>
          <w:highlight w:val="none"/>
        </w:rPr>
        <w:t>学分，方可申请参加学位论文答辩。</w:t>
      </w:r>
    </w:p>
    <w:p w14:paraId="6EE20FD0">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论文除经导师写出详细的评阅意见外，还应由</w:t>
      </w:r>
      <w:r>
        <w:rPr>
          <w:rFonts w:ascii="仿宋_GB2312" w:hAnsi="宋体" w:eastAsia="仿宋_GB2312"/>
          <w:sz w:val="28"/>
          <w:szCs w:val="28"/>
          <w:highlight w:val="none"/>
        </w:rPr>
        <w:t>2</w:t>
      </w:r>
      <w:r>
        <w:rPr>
          <w:rFonts w:hint="eastAsia" w:ascii="仿宋_GB2312" w:hAnsi="宋体" w:eastAsia="仿宋_GB2312"/>
          <w:sz w:val="28"/>
          <w:szCs w:val="28"/>
          <w:highlight w:val="none"/>
        </w:rPr>
        <w:t>～</w:t>
      </w:r>
      <w:r>
        <w:rPr>
          <w:rFonts w:ascii="仿宋_GB2312" w:hAnsi="宋体" w:eastAsia="仿宋_GB2312"/>
          <w:sz w:val="28"/>
          <w:szCs w:val="28"/>
          <w:highlight w:val="none"/>
        </w:rPr>
        <w:t>3</w:t>
      </w:r>
      <w:r>
        <w:rPr>
          <w:rFonts w:hint="eastAsia" w:ascii="仿宋_GB2312" w:hAnsi="宋体" w:eastAsia="仿宋_GB2312"/>
          <w:sz w:val="28"/>
          <w:szCs w:val="28"/>
          <w:highlight w:val="none"/>
        </w:rPr>
        <w:t>名本领域或相近领域的专家评阅，通过评阅后方可参加答辩。</w:t>
      </w:r>
    </w:p>
    <w:p w14:paraId="25BC7B73">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答辩委员会应由</w:t>
      </w:r>
      <w:r>
        <w:rPr>
          <w:rFonts w:ascii="仿宋_GB2312" w:hAnsi="宋体" w:eastAsia="仿宋_GB2312"/>
          <w:sz w:val="28"/>
          <w:szCs w:val="28"/>
          <w:highlight w:val="none"/>
        </w:rPr>
        <w:t>3</w:t>
      </w:r>
      <w:r>
        <w:rPr>
          <w:rFonts w:hint="eastAsia" w:ascii="仿宋_GB2312" w:hAnsi="宋体" w:eastAsia="仿宋_GB2312"/>
          <w:sz w:val="28"/>
          <w:szCs w:val="28"/>
          <w:highlight w:val="none"/>
        </w:rPr>
        <w:t>～</w:t>
      </w:r>
      <w:r>
        <w:rPr>
          <w:rFonts w:ascii="仿宋_GB2312" w:hAnsi="宋体" w:eastAsia="仿宋_GB2312"/>
          <w:sz w:val="28"/>
          <w:szCs w:val="28"/>
          <w:highlight w:val="none"/>
        </w:rPr>
        <w:t>5</w:t>
      </w:r>
      <w:r>
        <w:rPr>
          <w:rFonts w:hint="eastAsia" w:ascii="仿宋_GB2312" w:hAnsi="宋体" w:eastAsia="仿宋_GB2312"/>
          <w:sz w:val="28"/>
          <w:szCs w:val="28"/>
          <w:highlight w:val="none"/>
        </w:rPr>
        <w:t>位与本领域相关的专家组成。</w:t>
      </w:r>
      <w:r>
        <w:rPr>
          <w:rFonts w:hint="eastAsia" w:ascii="仿宋_GB2312" w:hAnsi="宋体" w:eastAsia="仿宋_GB2312"/>
          <w:sz w:val="28"/>
          <w:szCs w:val="28"/>
          <w:highlight w:val="none"/>
          <w:lang w:val="en-US" w:eastAsia="zh-CN"/>
        </w:rPr>
        <w:t>论文答辩程序严格根据《中山大学博士硕士学位授予工作细则》的规定执行。</w:t>
      </w:r>
      <w:r>
        <w:rPr>
          <w:rFonts w:ascii="仿宋_GB2312" w:hAnsi="宋体" w:eastAsia="仿宋_GB2312"/>
          <w:sz w:val="28"/>
          <w:szCs w:val="28"/>
          <w:highlight w:val="none"/>
        </w:rPr>
        <w:t xml:space="preserve"> </w:t>
      </w:r>
    </w:p>
    <w:p w14:paraId="3BD8D179">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、毕业与学位授予</w:t>
      </w:r>
      <w:r>
        <w:rPr>
          <w:rFonts w:ascii="仿宋_GB2312" w:hAnsi="宋体" w:eastAsia="仿宋_GB2312"/>
          <w:sz w:val="28"/>
          <w:szCs w:val="28"/>
          <w:highlight w:val="none"/>
        </w:rPr>
        <w:t xml:space="preserve"> </w:t>
      </w:r>
    </w:p>
    <w:p w14:paraId="67817675">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eastAsia="仿宋_GB2312"/>
          <w:sz w:val="28"/>
          <w:szCs w:val="28"/>
          <w:highlight w:val="none"/>
          <w:lang w:val="en-US" w:eastAsia="zh-CN"/>
        </w:rPr>
        <w:t>严格</w:t>
      </w:r>
      <w:r>
        <w:rPr>
          <w:rFonts w:hint="eastAsia" w:eastAsia="仿宋_GB2312"/>
          <w:sz w:val="28"/>
          <w:szCs w:val="28"/>
          <w:highlight w:val="none"/>
        </w:rPr>
        <w:t>按照《中山大学博士硕士学位授予工作细则》要求执行</w:t>
      </w:r>
      <w:r>
        <w:rPr>
          <w:rFonts w:hint="eastAsia" w:eastAsia="仿宋_GB2312"/>
          <w:sz w:val="28"/>
          <w:szCs w:val="28"/>
          <w:highlight w:val="none"/>
          <w:lang w:eastAsia="zh-CN"/>
        </w:rPr>
        <w:t>，</w:t>
      </w:r>
      <w:r>
        <w:rPr>
          <w:rFonts w:hint="eastAsia" w:eastAsia="仿宋_GB2312"/>
          <w:sz w:val="28"/>
          <w:szCs w:val="28"/>
          <w:highlight w:val="none"/>
        </w:rPr>
        <w:t>在符合学校有关规定基本要求的前提下，研究成果满足学校和学院的相关要求和规定，完成硕士论文并通过论文答辩者，按一级学科计算机科学与技术毕业，授予工学硕士</w:t>
      </w:r>
      <w:r>
        <w:rPr>
          <w:rFonts w:hint="eastAsia" w:eastAsia="仿宋_GB2312"/>
          <w:sz w:val="28"/>
          <w:szCs w:val="28"/>
          <w:highlight w:val="none"/>
          <w:lang w:val="en-US" w:eastAsia="zh-CN"/>
        </w:rPr>
        <w:t>学位</w:t>
      </w:r>
      <w:r>
        <w:rPr>
          <w:rFonts w:hint="eastAsia" w:ascii="仿宋_GB2312" w:hAnsi="宋体" w:eastAsia="仿宋_GB2312"/>
          <w:sz w:val="28"/>
          <w:szCs w:val="28"/>
          <w:highlight w:val="none"/>
        </w:rPr>
        <w:t>。</w:t>
      </w:r>
    </w:p>
    <w:p w14:paraId="2051AD5B">
      <w:pPr>
        <w:adjustRightInd w:val="0"/>
        <w:snapToGrid w:val="0"/>
        <w:spacing w:line="500" w:lineRule="exact"/>
        <w:ind w:firstLine="560" w:firstLineChars="200"/>
        <w:jc w:val="left"/>
        <w:rPr>
          <w:rFonts w:ascii="仿宋_GB2312" w:hAnsi="华文仿宋" w:eastAsia="仿宋_GB2312"/>
          <w:sz w:val="28"/>
          <w:szCs w:val="28"/>
          <w:highlight w:val="none"/>
        </w:rPr>
      </w:pPr>
    </w:p>
    <w:p w14:paraId="2180A279">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w:t>
      </w:r>
      <w:bookmarkStart w:id="1" w:name="_Hlk164020209"/>
      <w:r>
        <w:rPr>
          <w:rFonts w:hint="eastAsia" w:ascii="仿宋_GB2312" w:hAnsi="宋体" w:eastAsia="仿宋_GB2312"/>
          <w:b/>
          <w:sz w:val="28"/>
          <w:szCs w:val="28"/>
          <w:highlight w:val="none"/>
        </w:rPr>
        <w:t>必读和选读书目</w:t>
      </w:r>
      <w:bookmarkEnd w:id="1"/>
    </w:p>
    <w:p w14:paraId="3F7437F2">
      <w:pPr>
        <w:adjustRightInd w:val="0"/>
        <w:snapToGrid w:val="0"/>
        <w:spacing w:line="500" w:lineRule="exact"/>
        <w:jc w:val="left"/>
        <w:rPr>
          <w:rFonts w:ascii="仿宋_GB2312" w:hAnsi="宋体" w:eastAsia="仿宋_GB2312"/>
          <w:sz w:val="28"/>
          <w:szCs w:val="28"/>
          <w:highlight w:val="none"/>
        </w:rPr>
      </w:pPr>
    </w:p>
    <w:tbl>
      <w:tblPr>
        <w:tblStyle w:val="18"/>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4082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4EE88530">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4C4A1B2A">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7B932FDF">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1DC3306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0FC595DB">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6070BA4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31FF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425A1D9B">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7BE1963B">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66B2E807">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569B7F7C">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23CB3575">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79653FAF">
            <w:pPr>
              <w:tabs>
                <w:tab w:val="left" w:pos="3348"/>
                <w:tab w:val="left" w:pos="4968"/>
              </w:tabs>
              <w:adjustRightInd w:val="0"/>
              <w:snapToGrid w:val="0"/>
              <w:jc w:val="center"/>
              <w:rPr>
                <w:rFonts w:ascii="仿宋_GB2312" w:hAnsi="宋体" w:eastAsia="仿宋_GB2312"/>
                <w:szCs w:val="21"/>
                <w:highlight w:val="none"/>
              </w:rPr>
            </w:pPr>
          </w:p>
        </w:tc>
      </w:tr>
    </w:tbl>
    <w:p w14:paraId="78F761BB">
      <w:pPr>
        <w:spacing w:line="500" w:lineRule="exact"/>
        <w:rPr>
          <w:rFonts w:eastAsia="仿宋_GB2312"/>
          <w:color w:val="000000" w:themeColor="text1"/>
          <w:sz w:val="28"/>
          <w:szCs w:val="28"/>
          <w:highlight w:val="none"/>
          <w14:textFill>
            <w14:solidFill>
              <w14:schemeClr w14:val="tx1"/>
            </w14:solidFill>
          </w14:textFill>
        </w:rPr>
      </w:pPr>
    </w:p>
    <w:p w14:paraId="2AF4D6CE">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71C92B48">
      <w:pPr>
        <w:spacing w:line="360" w:lineRule="auto"/>
        <w:jc w:val="right"/>
        <w:rPr>
          <w:rFonts w:eastAsia="PMingLiU"/>
          <w:color w:val="000000"/>
          <w:sz w:val="28"/>
          <w:szCs w:val="28"/>
          <w:highlight w:val="none"/>
          <w:lang w:eastAsia="zh-TW"/>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2025</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8</w:t>
      </w:r>
      <w:r>
        <w:rPr>
          <w:rFonts w:eastAsia="仿宋_GB2312"/>
          <w:color w:val="000000"/>
          <w:sz w:val="28"/>
          <w:szCs w:val="28"/>
          <w:highlight w:val="none"/>
        </w:rPr>
        <w:t xml:space="preserve"> </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w:t>
      </w:r>
      <w:bookmarkStart w:id="2" w:name="_GoBack"/>
      <w:bookmarkEnd w:id="2"/>
      <w:r>
        <w:rPr>
          <w:rFonts w:eastAsia="仿宋_GB2312"/>
          <w:color w:val="000000"/>
          <w:sz w:val="28"/>
          <w:szCs w:val="28"/>
          <w:highlight w:val="none"/>
        </w:rPr>
        <w:t xml:space="preserve">  </w:t>
      </w:r>
      <w:r>
        <w:rPr>
          <w:rFonts w:eastAsia="仿宋_GB2312"/>
          <w:color w:val="000000"/>
          <w:sz w:val="28"/>
          <w:szCs w:val="28"/>
          <w:highlight w:val="none"/>
          <w:lang w:eastAsia="zh-TW"/>
        </w:rPr>
        <w:t>日</w:t>
      </w:r>
    </w:p>
    <w:p w14:paraId="3FE8411A">
      <w:pPr>
        <w:spacing w:line="500" w:lineRule="exact"/>
        <w:rPr>
          <w:rFonts w:eastAsia="仿宋_GB2312"/>
          <w:color w:val="000000" w:themeColor="text1"/>
          <w:sz w:val="28"/>
          <w:szCs w:val="28"/>
          <w:highlight w:val="none"/>
          <w14:textFill>
            <w14:solidFill>
              <w14:schemeClr w14:val="tx1"/>
            </w14:solidFill>
          </w14:textFill>
        </w:rPr>
      </w:pPr>
    </w:p>
    <w:p w14:paraId="640F1D69">
      <w:pPr>
        <w:spacing w:line="360" w:lineRule="auto"/>
        <w:jc w:val="both"/>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F4">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BAA52">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76E5D">
    <w:pPr>
      <w:pStyle w:val="12"/>
      <w:framePr w:wrap="around"/>
      <w:ind w:firstLine="2700"/>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14:paraId="75EA71C0">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26548">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DAE5F"/>
    <w:multiLevelType w:val="singleLevel"/>
    <w:tmpl w:val="D15DAE5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18A439E"/>
    <w:rsid w:val="02B77C14"/>
    <w:rsid w:val="03AA0AA0"/>
    <w:rsid w:val="040227C6"/>
    <w:rsid w:val="0469532E"/>
    <w:rsid w:val="049A1FFF"/>
    <w:rsid w:val="04CF6A3F"/>
    <w:rsid w:val="0696055B"/>
    <w:rsid w:val="07D97640"/>
    <w:rsid w:val="085576C3"/>
    <w:rsid w:val="0ABF6E54"/>
    <w:rsid w:val="0ACE0A76"/>
    <w:rsid w:val="0B406DF0"/>
    <w:rsid w:val="0D114C60"/>
    <w:rsid w:val="0D122026"/>
    <w:rsid w:val="0D821132"/>
    <w:rsid w:val="0DE476B3"/>
    <w:rsid w:val="0EB047B5"/>
    <w:rsid w:val="10D82F64"/>
    <w:rsid w:val="10DD77C5"/>
    <w:rsid w:val="123461C5"/>
    <w:rsid w:val="135D054E"/>
    <w:rsid w:val="162075CC"/>
    <w:rsid w:val="167C4575"/>
    <w:rsid w:val="179A728F"/>
    <w:rsid w:val="17FA069D"/>
    <w:rsid w:val="19FE0EFE"/>
    <w:rsid w:val="1A1D61F9"/>
    <w:rsid w:val="1A921FA1"/>
    <w:rsid w:val="1CCB7A93"/>
    <w:rsid w:val="1DB3646F"/>
    <w:rsid w:val="1E9207FB"/>
    <w:rsid w:val="20D40193"/>
    <w:rsid w:val="229E0F05"/>
    <w:rsid w:val="26BA61E0"/>
    <w:rsid w:val="28F337C0"/>
    <w:rsid w:val="2ACE2A81"/>
    <w:rsid w:val="2ADC24E8"/>
    <w:rsid w:val="2C721D95"/>
    <w:rsid w:val="2CE91FB1"/>
    <w:rsid w:val="30B83608"/>
    <w:rsid w:val="31764946"/>
    <w:rsid w:val="3322533B"/>
    <w:rsid w:val="336C3695"/>
    <w:rsid w:val="348C324B"/>
    <w:rsid w:val="34CC5FFA"/>
    <w:rsid w:val="362550E8"/>
    <w:rsid w:val="37055FAE"/>
    <w:rsid w:val="377E7D50"/>
    <w:rsid w:val="3C305075"/>
    <w:rsid w:val="3C7D77DE"/>
    <w:rsid w:val="3D430534"/>
    <w:rsid w:val="3E324EBC"/>
    <w:rsid w:val="3E735171"/>
    <w:rsid w:val="3E9A1058"/>
    <w:rsid w:val="3F365FD1"/>
    <w:rsid w:val="42551033"/>
    <w:rsid w:val="45EA47D4"/>
    <w:rsid w:val="4A417668"/>
    <w:rsid w:val="4B104E62"/>
    <w:rsid w:val="4BEF66A1"/>
    <w:rsid w:val="4C455C43"/>
    <w:rsid w:val="4C9D79FD"/>
    <w:rsid w:val="4D1D47F7"/>
    <w:rsid w:val="4D6178FB"/>
    <w:rsid w:val="4DA65F3A"/>
    <w:rsid w:val="4E2400F1"/>
    <w:rsid w:val="4E557EBD"/>
    <w:rsid w:val="51A636A5"/>
    <w:rsid w:val="54297BF9"/>
    <w:rsid w:val="55396295"/>
    <w:rsid w:val="57254401"/>
    <w:rsid w:val="5745356B"/>
    <w:rsid w:val="59741286"/>
    <w:rsid w:val="59A55F73"/>
    <w:rsid w:val="5A0E40F6"/>
    <w:rsid w:val="5AA01772"/>
    <w:rsid w:val="5CAA4027"/>
    <w:rsid w:val="5D637A0F"/>
    <w:rsid w:val="5E386699"/>
    <w:rsid w:val="5E83452C"/>
    <w:rsid w:val="5E9309BC"/>
    <w:rsid w:val="5EC43F97"/>
    <w:rsid w:val="5F8E24FF"/>
    <w:rsid w:val="60A863E2"/>
    <w:rsid w:val="61AB0289"/>
    <w:rsid w:val="63947BE4"/>
    <w:rsid w:val="63B86E6D"/>
    <w:rsid w:val="64414A95"/>
    <w:rsid w:val="64734F21"/>
    <w:rsid w:val="677243C5"/>
    <w:rsid w:val="67ED14C0"/>
    <w:rsid w:val="69591B97"/>
    <w:rsid w:val="712259CE"/>
    <w:rsid w:val="72E2790B"/>
    <w:rsid w:val="72EC46B2"/>
    <w:rsid w:val="73B24ECD"/>
    <w:rsid w:val="743C692B"/>
    <w:rsid w:val="74433161"/>
    <w:rsid w:val="778F3F9E"/>
    <w:rsid w:val="786B7F5D"/>
    <w:rsid w:val="7A1A3C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3"/>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8"/>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38"/>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9"/>
    <w:autoRedefine/>
    <w:semiHidden/>
    <w:qFormat/>
    <w:uiPriority w:val="99"/>
    <w:pPr>
      <w:shd w:val="clear" w:color="auto" w:fill="000080"/>
    </w:pPr>
  </w:style>
  <w:style w:type="paragraph" w:styleId="6">
    <w:name w:val="annotation text"/>
    <w:link w:val="43"/>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6"/>
    <w:autoRedefine/>
    <w:qFormat/>
    <w:uiPriority w:val="0"/>
    <w:pPr>
      <w:spacing w:after="120"/>
      <w:ind w:left="420" w:leftChars="200"/>
    </w:pPr>
    <w:rPr>
      <w:lang w:val="zh-CN"/>
    </w:rPr>
  </w:style>
  <w:style w:type="paragraph" w:styleId="8">
    <w:name w:val="Plain Text"/>
    <w:basedOn w:val="1"/>
    <w:link w:val="40"/>
    <w:autoRedefine/>
    <w:unhideWhenUsed/>
    <w:qFormat/>
    <w:uiPriority w:val="0"/>
    <w:rPr>
      <w:rFonts w:ascii="宋体" w:hAnsi="Courier New" w:cs="Courier New"/>
      <w:szCs w:val="21"/>
    </w:rPr>
  </w:style>
  <w:style w:type="paragraph" w:styleId="9">
    <w:name w:val="Date"/>
    <w:basedOn w:val="1"/>
    <w:next w:val="1"/>
    <w:link w:val="32"/>
    <w:autoRedefine/>
    <w:qFormat/>
    <w:uiPriority w:val="99"/>
    <w:rPr>
      <w:rFonts w:ascii="宋体"/>
      <w:sz w:val="24"/>
    </w:rPr>
  </w:style>
  <w:style w:type="paragraph" w:styleId="10">
    <w:name w:val="Body Text Indent 2"/>
    <w:basedOn w:val="1"/>
    <w:link w:val="31"/>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7"/>
    <w:autoRedefine/>
    <w:semiHidden/>
    <w:qFormat/>
    <w:uiPriority w:val="99"/>
    <w:rPr>
      <w:sz w:val="18"/>
      <w:szCs w:val="18"/>
    </w:rPr>
  </w:style>
  <w:style w:type="paragraph" w:styleId="12">
    <w:name w:val="footer"/>
    <w:basedOn w:val="1"/>
    <w:link w:val="44"/>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39"/>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5"/>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annotation subject"/>
    <w:basedOn w:val="6"/>
    <w:next w:val="6"/>
    <w:link w:val="42"/>
    <w:autoRedefine/>
    <w:unhideWhenUsed/>
    <w:qFormat/>
    <w:uiPriority w:val="99"/>
    <w:rPr>
      <w:b/>
      <w:bCs/>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basedOn w:val="20"/>
    <w:autoRedefine/>
    <w:unhideWhenUsed/>
    <w:qFormat/>
    <w:uiPriority w:val="99"/>
    <w:rPr>
      <w:color w:val="0000FF"/>
      <w:u w:val="single"/>
    </w:rPr>
  </w:style>
  <w:style w:type="character" w:styleId="23">
    <w:name w:val="annotation reference"/>
    <w:basedOn w:val="20"/>
    <w:autoRedefine/>
    <w:unhideWhenUsed/>
    <w:qFormat/>
    <w:uiPriority w:val="99"/>
    <w:rPr>
      <w:sz w:val="21"/>
      <w:szCs w:val="21"/>
    </w:rPr>
  </w:style>
  <w:style w:type="paragraph" w:customStyle="1" w:styleId="24">
    <w:name w:val="1"/>
    <w:basedOn w:val="1"/>
    <w:next w:val="7"/>
    <w:autoRedefine/>
    <w:qFormat/>
    <w:uiPriority w:val="0"/>
    <w:pPr>
      <w:snapToGrid w:val="0"/>
      <w:spacing w:line="560" w:lineRule="atLeast"/>
      <w:ind w:firstLine="630"/>
    </w:pPr>
    <w:rPr>
      <w:sz w:val="31"/>
    </w:rPr>
  </w:style>
  <w:style w:type="character" w:customStyle="1" w:styleId="25">
    <w:name w:val="Char"/>
    <w:autoRedefine/>
    <w:qFormat/>
    <w:uiPriority w:val="0"/>
    <w:rPr>
      <w:rFonts w:eastAsia="宋体"/>
      <w:kern w:val="2"/>
      <w:sz w:val="31"/>
      <w:lang w:val="en-US" w:eastAsia="zh-CN" w:bidi="ar-SA"/>
    </w:rPr>
  </w:style>
  <w:style w:type="character" w:customStyle="1" w:styleId="26">
    <w:name w:val="正文文本缩进 字符"/>
    <w:basedOn w:val="20"/>
    <w:link w:val="7"/>
    <w:autoRedefine/>
    <w:qFormat/>
    <w:uiPriority w:val="0"/>
    <w:rPr>
      <w:rFonts w:ascii="Times New Roman" w:hAnsi="Times New Roman" w:eastAsia="宋体" w:cs="Times New Roman"/>
      <w:szCs w:val="20"/>
      <w:lang w:val="zh-CN" w:eastAsia="zh-CN"/>
    </w:rPr>
  </w:style>
  <w:style w:type="character" w:customStyle="1" w:styleId="27">
    <w:name w:val="批注框文本 字符"/>
    <w:basedOn w:val="20"/>
    <w:link w:val="11"/>
    <w:autoRedefine/>
    <w:semiHidden/>
    <w:qFormat/>
    <w:uiPriority w:val="99"/>
    <w:rPr>
      <w:rFonts w:ascii="Times New Roman" w:hAnsi="Times New Roman" w:eastAsia="宋体" w:cs="Times New Roman"/>
      <w:sz w:val="18"/>
      <w:szCs w:val="18"/>
    </w:rPr>
  </w:style>
  <w:style w:type="character" w:customStyle="1" w:styleId="28">
    <w:name w:val="正文文本缩进 2 Char1"/>
    <w:basedOn w:val="20"/>
    <w:autoRedefine/>
    <w:qFormat/>
    <w:uiPriority w:val="99"/>
    <w:rPr>
      <w:rFonts w:ascii="Times New Roman" w:hAnsi="Times New Roman" w:eastAsia="宋体" w:cs="Times New Roman"/>
      <w:szCs w:val="20"/>
    </w:rPr>
  </w:style>
  <w:style w:type="character" w:customStyle="1" w:styleId="29">
    <w:name w:val="文档结构图 字符"/>
    <w:basedOn w:val="20"/>
    <w:link w:val="5"/>
    <w:autoRedefine/>
    <w:semiHidden/>
    <w:qFormat/>
    <w:uiPriority w:val="99"/>
    <w:rPr>
      <w:rFonts w:ascii="Times New Roman" w:hAnsi="Times New Roman" w:eastAsia="宋体" w:cs="Times New Roman"/>
      <w:szCs w:val="20"/>
      <w:shd w:val="clear" w:color="auto" w:fill="000080"/>
    </w:rPr>
  </w:style>
  <w:style w:type="paragraph" w:customStyle="1" w:styleId="30">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1">
    <w:name w:val="正文文本缩进 2 字符"/>
    <w:link w:val="10"/>
    <w:autoRedefine/>
    <w:qFormat/>
    <w:uiPriority w:val="0"/>
  </w:style>
  <w:style w:type="character" w:customStyle="1" w:styleId="32">
    <w:name w:val="日期 字符"/>
    <w:basedOn w:val="20"/>
    <w:link w:val="9"/>
    <w:autoRedefine/>
    <w:qFormat/>
    <w:uiPriority w:val="99"/>
    <w:rPr>
      <w:rFonts w:ascii="宋体" w:hAnsi="Times New Roman" w:eastAsia="宋体" w:cs="Times New Roman"/>
      <w:sz w:val="24"/>
      <w:szCs w:val="20"/>
    </w:rPr>
  </w:style>
  <w:style w:type="character" w:customStyle="1" w:styleId="33">
    <w:name w:val="标题 1 字符"/>
    <w:basedOn w:val="20"/>
    <w:link w:val="2"/>
    <w:autoRedefine/>
    <w:qFormat/>
    <w:uiPriority w:val="9"/>
    <w:rPr>
      <w:rFonts w:ascii="Calibri" w:hAnsi="Calibri" w:eastAsia="宋体" w:cs="Times New Roman"/>
      <w:b/>
      <w:bCs/>
      <w:kern w:val="44"/>
      <w:sz w:val="44"/>
      <w:szCs w:val="44"/>
    </w:rPr>
  </w:style>
  <w:style w:type="paragraph" w:customStyle="1" w:styleId="34">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5">
    <w:name w:val="正文文本缩进 3 字符"/>
    <w:link w:val="15"/>
    <w:autoRedefine/>
    <w:qFormat/>
    <w:locked/>
    <w:uiPriority w:val="0"/>
    <w:rPr>
      <w:sz w:val="16"/>
      <w:szCs w:val="16"/>
    </w:rPr>
  </w:style>
  <w:style w:type="paragraph" w:customStyle="1" w:styleId="36">
    <w:name w:val="修订1"/>
    <w:autoRedefine/>
    <w:hidden/>
    <w:semiHidden/>
    <w:qFormat/>
    <w:uiPriority w:val="99"/>
    <w:rPr>
      <w:rFonts w:ascii="Times New Roman" w:hAnsi="Times New Roman" w:eastAsia="宋体" w:cs="Times New Roman"/>
      <w:kern w:val="2"/>
      <w:sz w:val="21"/>
      <w:lang w:val="en-US" w:eastAsia="zh-CN" w:bidi="ar-SA"/>
    </w:rPr>
  </w:style>
  <w:style w:type="paragraph" w:styleId="37">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8">
    <w:name w:val="标题 3 字符"/>
    <w:basedOn w:val="20"/>
    <w:link w:val="4"/>
    <w:autoRedefine/>
    <w:qFormat/>
    <w:uiPriority w:val="9"/>
    <w:rPr>
      <w:rFonts w:ascii="Calibri" w:hAnsi="Calibri" w:eastAsia="宋体" w:cs="Times New Roman"/>
      <w:b/>
      <w:bCs/>
      <w:sz w:val="32"/>
      <w:szCs w:val="32"/>
    </w:rPr>
  </w:style>
  <w:style w:type="character" w:customStyle="1" w:styleId="39">
    <w:name w:val="页眉 字符"/>
    <w:basedOn w:val="20"/>
    <w:link w:val="13"/>
    <w:autoRedefine/>
    <w:qFormat/>
    <w:uiPriority w:val="99"/>
    <w:rPr>
      <w:rFonts w:ascii="Times New Roman" w:hAnsi="Times New Roman" w:eastAsia="宋体" w:cs="Times New Roman"/>
      <w:sz w:val="18"/>
      <w:szCs w:val="18"/>
    </w:rPr>
  </w:style>
  <w:style w:type="character" w:customStyle="1" w:styleId="40">
    <w:name w:val="纯文本 字符"/>
    <w:basedOn w:val="20"/>
    <w:link w:val="8"/>
    <w:autoRedefine/>
    <w:qFormat/>
    <w:uiPriority w:val="0"/>
    <w:rPr>
      <w:rFonts w:ascii="宋体" w:hAnsi="Courier New" w:eastAsia="宋体" w:cs="Courier New"/>
      <w:szCs w:val="21"/>
    </w:rPr>
  </w:style>
  <w:style w:type="paragraph" w:customStyle="1" w:styleId="41">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2">
    <w:name w:val="批注主题 字符"/>
    <w:basedOn w:val="43"/>
    <w:link w:val="17"/>
    <w:autoRedefine/>
    <w:qFormat/>
    <w:uiPriority w:val="99"/>
    <w:rPr>
      <w:rFonts w:ascii="Calibri" w:hAnsi="Calibri" w:eastAsia="宋体" w:cs="Times New Roman"/>
      <w:b/>
      <w:bCs/>
    </w:rPr>
  </w:style>
  <w:style w:type="character" w:customStyle="1" w:styleId="43">
    <w:name w:val="批注文字 字符"/>
    <w:basedOn w:val="20"/>
    <w:link w:val="6"/>
    <w:autoRedefine/>
    <w:qFormat/>
    <w:uiPriority w:val="99"/>
    <w:rPr>
      <w:rFonts w:ascii="Calibri" w:hAnsi="Calibri" w:eastAsia="宋体" w:cs="Times New Roman"/>
    </w:rPr>
  </w:style>
  <w:style w:type="character" w:customStyle="1" w:styleId="44">
    <w:name w:val="页脚 字符"/>
    <w:basedOn w:val="20"/>
    <w:link w:val="12"/>
    <w:autoRedefine/>
    <w:qFormat/>
    <w:uiPriority w:val="99"/>
    <w:rPr>
      <w:rFonts w:ascii="Times New Roman" w:hAnsi="Times New Roman" w:eastAsia="宋体" w:cs="Times New Roman"/>
      <w:kern w:val="2"/>
      <w:sz w:val="18"/>
    </w:rPr>
  </w:style>
  <w:style w:type="character" w:customStyle="1" w:styleId="45">
    <w:name w:val="正文文本缩进 3 Char1"/>
    <w:basedOn w:val="20"/>
    <w:autoRedefine/>
    <w:qFormat/>
    <w:uiPriority w:val="99"/>
    <w:rPr>
      <w:rFonts w:ascii="Times New Roman" w:hAnsi="Times New Roman" w:eastAsia="宋体" w:cs="Times New Roman"/>
      <w:sz w:val="16"/>
      <w:szCs w:val="16"/>
    </w:rPr>
  </w:style>
  <w:style w:type="paragraph" w:customStyle="1" w:styleId="46">
    <w:name w:val="p0"/>
    <w:basedOn w:val="1"/>
    <w:autoRedefine/>
    <w:qFormat/>
    <w:uiPriority w:val="0"/>
    <w:pPr>
      <w:widowControl/>
    </w:pPr>
    <w:rPr>
      <w:kern w:val="0"/>
      <w:szCs w:val="21"/>
    </w:rPr>
  </w:style>
  <w:style w:type="paragraph" w:customStyle="1" w:styleId="47">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8">
    <w:name w:val="标题 2 字符"/>
    <w:basedOn w:val="20"/>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2668</Words>
  <Characters>3962</Characters>
  <TotalTime>9</TotalTime>
  <ScaleCrop>false</ScaleCrop>
  <LinksUpToDate>false</LinksUpToDate>
  <CharactersWithSpaces>4099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2024-06-12T11:29:00Z</cp:lastPrinted>
  <dcterms:modified xsi:type="dcterms:W3CDTF">2025-08-25T02:02:19Z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480C1C6328C347E49058F9AA897BBB34_12</vt:lpwstr>
  </property>
  <property fmtid="{D5CDD505-2E9C-101B-9397-08002B2CF9AE}" pid="4" name="KSOTemplateDocerSaveRecord">
    <vt:lpwstr>eyJoZGlkIjoiODJiZDc5Zjg5NDE4NjcxOTg4YzdiZmMzM2RlYjhkMzkiLCJ1c2VySWQiOiI2MjA1NzY1MDgifQ==</vt:lpwstr>
  </property>
</Properties>
</file>