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D7B87">
      <w:pPr>
        <w:adjustRightInd w:val="0"/>
        <w:snapToGrid w:val="0"/>
        <w:spacing w:line="500" w:lineRule="exact"/>
        <w:jc w:val="center"/>
        <w:rPr>
          <w:rFonts w:eastAsia="方正小标宋简体"/>
          <w:b/>
          <w:color w:val="000000"/>
          <w:sz w:val="36"/>
          <w:szCs w:val="36"/>
        </w:rPr>
      </w:pPr>
      <w:r>
        <w:rPr>
          <w:rFonts w:eastAsia="方正小标宋简体"/>
          <w:b/>
          <w:color w:val="000000"/>
          <w:sz w:val="36"/>
          <w:szCs w:val="36"/>
        </w:rPr>
        <w:t>中山大学</w:t>
      </w:r>
    </w:p>
    <w:p w14:paraId="54B8D351">
      <w:pPr>
        <w:adjustRightInd w:val="0"/>
        <w:snapToGrid w:val="0"/>
        <w:spacing w:line="500" w:lineRule="exact"/>
        <w:jc w:val="center"/>
        <w:rPr>
          <w:rFonts w:eastAsia="方正小标宋简体"/>
          <w:b/>
          <w:color w:val="000000"/>
          <w:sz w:val="32"/>
          <w:szCs w:val="32"/>
        </w:rPr>
      </w:pPr>
      <w:r>
        <w:rPr>
          <w:rFonts w:hint="eastAsia" w:eastAsia="方正小标宋简体"/>
          <w:b/>
          <w:color w:val="000000"/>
          <w:sz w:val="32"/>
          <w:szCs w:val="32"/>
          <w:lang w:val="en-US" w:eastAsia="zh-CN"/>
        </w:rPr>
        <w:t>计算</w:t>
      </w:r>
      <w:r>
        <w:rPr>
          <w:rFonts w:hint="eastAsia" w:eastAsia="方正小标宋简体"/>
          <w:b/>
          <w:color w:val="000000"/>
          <w:sz w:val="32"/>
          <w:szCs w:val="32"/>
        </w:rPr>
        <w:t>数学（07010</w:t>
      </w:r>
      <w:r>
        <w:rPr>
          <w:rFonts w:hint="eastAsia" w:eastAsia="方正小标宋简体"/>
          <w:b/>
          <w:color w:val="000000"/>
          <w:sz w:val="32"/>
          <w:szCs w:val="32"/>
          <w:lang w:val="en-US" w:eastAsia="zh-CN"/>
        </w:rPr>
        <w:t>2</w:t>
      </w:r>
      <w:r>
        <w:rPr>
          <w:rFonts w:hint="eastAsia" w:eastAsia="方正小标宋简体"/>
          <w:b/>
          <w:color w:val="000000"/>
          <w:sz w:val="32"/>
          <w:szCs w:val="32"/>
        </w:rPr>
        <w:t>）</w:t>
      </w:r>
      <w:r>
        <w:rPr>
          <w:rFonts w:eastAsia="方正小标宋简体"/>
          <w:b/>
          <w:color w:val="000000"/>
          <w:sz w:val="32"/>
          <w:szCs w:val="32"/>
        </w:rPr>
        <w:t>学术学位</w:t>
      </w:r>
      <w:r>
        <w:rPr>
          <w:rFonts w:hint="eastAsia" w:eastAsia="方正小标宋简体"/>
          <w:b/>
          <w:color w:val="000000"/>
          <w:sz w:val="32"/>
          <w:szCs w:val="32"/>
        </w:rPr>
        <w:t>硕士</w:t>
      </w:r>
      <w:r>
        <w:rPr>
          <w:rFonts w:eastAsia="方正小标宋简体"/>
          <w:b/>
          <w:color w:val="000000"/>
          <w:sz w:val="32"/>
          <w:szCs w:val="32"/>
        </w:rPr>
        <w:t>研究生培养方案</w:t>
      </w:r>
    </w:p>
    <w:p w14:paraId="518FAC22">
      <w:pPr>
        <w:adjustRightInd w:val="0"/>
        <w:snapToGrid w:val="0"/>
        <w:spacing w:line="500" w:lineRule="exact"/>
        <w:jc w:val="center"/>
        <w:rPr>
          <w:rFonts w:eastAsia="方正小标宋简体"/>
          <w:bCs/>
          <w:color w:val="000000"/>
          <w:sz w:val="28"/>
          <w:szCs w:val="28"/>
        </w:rPr>
      </w:pPr>
      <w:r>
        <w:rPr>
          <w:rFonts w:eastAsia="方正小标宋简体"/>
          <w:bCs/>
          <w:color w:val="000000"/>
          <w:sz w:val="28"/>
          <w:szCs w:val="28"/>
        </w:rPr>
        <w:t>（从</w:t>
      </w:r>
      <w:r>
        <w:rPr>
          <w:rFonts w:hint="eastAsia" w:eastAsia="方正小标宋简体"/>
          <w:bCs/>
          <w:color w:val="000000"/>
          <w:sz w:val="28"/>
          <w:szCs w:val="28"/>
        </w:rPr>
        <w:t>202</w:t>
      </w:r>
      <w:r>
        <w:rPr>
          <w:rFonts w:hint="eastAsia" w:eastAsia="方正小标宋简体"/>
          <w:bCs/>
          <w:color w:val="000000"/>
          <w:sz w:val="28"/>
          <w:szCs w:val="28"/>
          <w:lang w:val="en-US" w:eastAsia="zh-CN"/>
        </w:rPr>
        <w:t>6</w:t>
      </w:r>
      <w:r>
        <w:rPr>
          <w:rFonts w:eastAsia="方正小标宋简体"/>
          <w:bCs/>
          <w:color w:val="000000"/>
          <w:sz w:val="28"/>
          <w:szCs w:val="28"/>
        </w:rPr>
        <w:t>年级开始执行）</w:t>
      </w:r>
    </w:p>
    <w:p w14:paraId="0FCB68CD">
      <w:pPr>
        <w:spacing w:line="500" w:lineRule="exact"/>
        <w:ind w:firstLine="643" w:firstLineChars="200"/>
        <w:rPr>
          <w:rFonts w:eastAsia="仿宋_GB2312"/>
          <w:b/>
          <w:sz w:val="32"/>
          <w:szCs w:val="32"/>
        </w:rPr>
      </w:pPr>
    </w:p>
    <w:p w14:paraId="098028CA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学科介绍</w:t>
      </w:r>
    </w:p>
    <w:p w14:paraId="14A97639">
      <w:pPr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数学学科历史追溯于数学系始建于1924年创校之初，1998年获得数学一级学科博士学位授予权，是国家“双一流”建设学科，国家理科基础科研和教学人才培养基地。本学科着力培养学生掌握数学的基本理论和方法，进入国际科学研究前沿，做出原创性理论和应用成果，成为具有国际视野的数学领军人才，为提升我国科技实力和促进经济建设做贡献。本着“质量第一”的发展理念，全力完善学科体系，提升学科实力，建成国际领先的学科点</w:t>
      </w:r>
      <w:r>
        <w:rPr>
          <w:rFonts w:eastAsia="仿宋_GB2312"/>
          <w:sz w:val="28"/>
          <w:szCs w:val="28"/>
        </w:rPr>
        <w:t>。</w:t>
      </w:r>
    </w:p>
    <w:p w14:paraId="6713BDF8">
      <w:pPr>
        <w:spacing w:line="500" w:lineRule="exact"/>
        <w:ind w:firstLine="560" w:firstLineChars="200"/>
        <w:rPr>
          <w:rFonts w:eastAsia="仿宋_GB2312"/>
          <w:sz w:val="28"/>
          <w:szCs w:val="28"/>
        </w:rPr>
      </w:pPr>
    </w:p>
    <w:p w14:paraId="44291BF5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培养目标</w:t>
      </w:r>
    </w:p>
    <w:p w14:paraId="78226922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以习近平新时代中国特色社会主义思想为指导，全面贯彻党的教育方针，以立德树人为根本，以理想信念教育为核心，培养德智体美劳全面发展，具有社会责任感和创新精神的高层次人才。</w:t>
      </w:r>
    </w:p>
    <w:p w14:paraId="5B28231A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掌握坚实宽广的数学学科基本理论和系统的专门知识，具有发现问题、分析问题、解决问题的能力，具有健全的体魄和健康的心理、和谐的人际关系以及良好的社会适应能力。对于继续深造的硕士生，必须掌握科学研究的方法，具有独立从事科学研究的能力，能在教学科研一线独当一面；对于走入社会就业的硕士生，将具有应用本学科知识和方法解决工作中的实际问题的能力</w:t>
      </w:r>
      <w:r>
        <w:rPr>
          <w:rFonts w:eastAsia="仿宋_GB2312"/>
          <w:sz w:val="28"/>
          <w:szCs w:val="28"/>
        </w:rPr>
        <w:t>。</w:t>
      </w:r>
    </w:p>
    <w:p w14:paraId="111EC090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</w:p>
    <w:p w14:paraId="2DD79010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学制与学习年限</w:t>
      </w:r>
    </w:p>
    <w:p w14:paraId="41BE73B4">
      <w:pPr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全日制三年。</w:t>
      </w:r>
      <w:r>
        <w:rPr>
          <w:rFonts w:eastAsia="仿宋_GB2312"/>
          <w:sz w:val="28"/>
          <w:szCs w:val="28"/>
        </w:rPr>
        <w:t>按照《中山大学研究生学籍管理规定》</w:t>
      </w:r>
      <w:r>
        <w:rPr>
          <w:rFonts w:hint="eastAsia" w:eastAsia="仿宋_GB2312"/>
          <w:sz w:val="28"/>
          <w:szCs w:val="28"/>
        </w:rPr>
        <w:t>中</w:t>
      </w:r>
      <w:r>
        <w:rPr>
          <w:rFonts w:eastAsia="仿宋_GB2312"/>
          <w:sz w:val="28"/>
          <w:szCs w:val="28"/>
        </w:rPr>
        <w:t>规定的学制和学习年限执行。</w:t>
      </w:r>
    </w:p>
    <w:p w14:paraId="42699B94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学科特色方向</w:t>
      </w:r>
    </w:p>
    <w:p w14:paraId="688258C7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基础数学、计算数学、概率论与数理统计、应用数学、运筹学与控制论五个研究方向。</w:t>
      </w:r>
    </w:p>
    <w:p w14:paraId="26494456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</w:p>
    <w:p w14:paraId="6B94A63A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培养方式</w:t>
      </w:r>
    </w:p>
    <w:p w14:paraId="40B9FA67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研究生培养方式应灵活多样，应充分发挥导师指导研究生的主导作用，建立和完善有利于发挥学术群体作用的培养机制。应强调在培养过程中发挥研究生的主动性和自觉性，更多地采用启发式、研讨式的教学方式，可规定研究生参加必要的学术讲座、学术报告、讨论班、社会实践和社会调查，加强研究生的自学能力、动手能力、表达能力和写作能力的训练和培养。</w:t>
      </w:r>
    </w:p>
    <w:p w14:paraId="5D29D62C"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eastAsia="仿宋_GB2312"/>
          <w:sz w:val="28"/>
          <w:szCs w:val="28"/>
        </w:rPr>
      </w:pPr>
    </w:p>
    <w:p w14:paraId="39C81AA9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课程设置与学分要求</w:t>
      </w:r>
    </w:p>
    <w:p w14:paraId="4CB385AF">
      <w:pPr>
        <w:adjustRightInd w:val="0"/>
        <w:snapToGrid w:val="0"/>
        <w:spacing w:line="50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1.学分要求</w:t>
      </w:r>
    </w:p>
    <w:p w14:paraId="1E1C5E92">
      <w:pPr>
        <w:adjustRightInd w:val="0"/>
        <w:snapToGrid w:val="0"/>
        <w:spacing w:line="500" w:lineRule="exact"/>
        <w:ind w:firstLine="560" w:firstLineChars="200"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修读总学分不低于30学分，其中必修学分不低于15学分，学位论文不计学分。</w:t>
      </w:r>
    </w:p>
    <w:p w14:paraId="4164D244">
      <w:pPr>
        <w:numPr>
          <w:ilvl w:val="0"/>
          <w:numId w:val="2"/>
        </w:numPr>
        <w:spacing w:line="500" w:lineRule="exact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课程设置</w:t>
      </w:r>
    </w:p>
    <w:p w14:paraId="71C1318D">
      <w:pPr>
        <w:spacing w:line="500" w:lineRule="exact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注：数学专业硕士培养方案由数学学院、数学学院（珠海）、计算机学院、理学院及系统科学与工程学院五学院共同制定，课程设置涵盖五个学院的课程体系。此发布版本仅包含面向我院学生的课程。如需了解整个学位点的完整课程设置，可前往我院研究生教务办公室查阅。）</w:t>
      </w:r>
    </w:p>
    <w:tbl>
      <w:tblPr>
        <w:tblStyle w:val="19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510"/>
        <w:gridCol w:w="1200"/>
        <w:gridCol w:w="3730"/>
        <w:gridCol w:w="570"/>
        <w:gridCol w:w="520"/>
        <w:gridCol w:w="1521"/>
        <w:gridCol w:w="576"/>
      </w:tblGrid>
      <w:tr w14:paraId="1CE3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vAlign w:val="center"/>
          </w:tcPr>
          <w:p w14:paraId="53E362A1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10" w:type="dxa"/>
          </w:tcPr>
          <w:p w14:paraId="554B91DB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课程属性</w:t>
            </w:r>
          </w:p>
        </w:tc>
        <w:tc>
          <w:tcPr>
            <w:tcW w:w="1200" w:type="dxa"/>
            <w:vAlign w:val="center"/>
          </w:tcPr>
          <w:p w14:paraId="4F275074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课程代码</w:t>
            </w:r>
          </w:p>
        </w:tc>
        <w:tc>
          <w:tcPr>
            <w:tcW w:w="3730" w:type="dxa"/>
            <w:vAlign w:val="center"/>
          </w:tcPr>
          <w:p w14:paraId="32466070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课程名称/英文名称</w:t>
            </w:r>
          </w:p>
        </w:tc>
        <w:tc>
          <w:tcPr>
            <w:tcW w:w="570" w:type="dxa"/>
            <w:vAlign w:val="center"/>
          </w:tcPr>
          <w:p w14:paraId="50EE6A8C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学时</w:t>
            </w:r>
          </w:p>
        </w:tc>
        <w:tc>
          <w:tcPr>
            <w:tcW w:w="520" w:type="dxa"/>
            <w:vAlign w:val="center"/>
          </w:tcPr>
          <w:p w14:paraId="657A7019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学分</w:t>
            </w:r>
          </w:p>
        </w:tc>
        <w:tc>
          <w:tcPr>
            <w:tcW w:w="1521" w:type="dxa"/>
            <w:vAlign w:val="center"/>
          </w:tcPr>
          <w:p w14:paraId="252B56DC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课程负责人</w:t>
            </w:r>
          </w:p>
        </w:tc>
        <w:tc>
          <w:tcPr>
            <w:tcW w:w="576" w:type="dxa"/>
            <w:vAlign w:val="center"/>
          </w:tcPr>
          <w:p w14:paraId="0AAFFF5B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备注</w:t>
            </w:r>
          </w:p>
        </w:tc>
      </w:tr>
      <w:tr w14:paraId="6D4F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53" w:type="dxa"/>
            <w:vMerge w:val="restart"/>
            <w:textDirection w:val="tbRlV"/>
            <w:vAlign w:val="center"/>
          </w:tcPr>
          <w:p w14:paraId="70F44DEC">
            <w:pPr>
              <w:spacing w:line="500" w:lineRule="exact"/>
              <w:ind w:left="113" w:right="113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</w:rPr>
              <w:t>必修课</w:t>
            </w:r>
          </w:p>
        </w:tc>
        <w:tc>
          <w:tcPr>
            <w:tcW w:w="510" w:type="dxa"/>
            <w:vMerge w:val="restart"/>
            <w:textDirection w:val="tbRlV"/>
            <w:vAlign w:val="center"/>
          </w:tcPr>
          <w:p w14:paraId="675E4600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公共课</w:t>
            </w:r>
          </w:p>
        </w:tc>
        <w:tc>
          <w:tcPr>
            <w:tcW w:w="1200" w:type="dxa"/>
            <w:vAlign w:val="center"/>
          </w:tcPr>
          <w:p w14:paraId="26B0642A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MAR500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30" w:type="dxa"/>
            <w:vAlign w:val="center"/>
          </w:tcPr>
          <w:p w14:paraId="57FF63E4">
            <w:pPr>
              <w:jc w:val="left"/>
              <w:rPr>
                <w:rFonts w:hint="default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中国式现代化的理论与实践</w:t>
            </w:r>
          </w:p>
        </w:tc>
        <w:tc>
          <w:tcPr>
            <w:tcW w:w="570" w:type="dxa"/>
            <w:vAlign w:val="center"/>
          </w:tcPr>
          <w:p w14:paraId="7BA80A5A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vAlign w:val="center"/>
          </w:tcPr>
          <w:p w14:paraId="78A20771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7B0477DA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576" w:type="dxa"/>
            <w:vAlign w:val="center"/>
          </w:tcPr>
          <w:p w14:paraId="7576E57F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秋</w:t>
            </w:r>
          </w:p>
        </w:tc>
      </w:tr>
      <w:tr w14:paraId="1426C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53" w:type="dxa"/>
            <w:vMerge w:val="continue"/>
            <w:vAlign w:val="center"/>
          </w:tcPr>
          <w:p w14:paraId="1118AA3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7A46F2FE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0EE4F383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MAR500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730" w:type="dxa"/>
            <w:vAlign w:val="center"/>
          </w:tcPr>
          <w:p w14:paraId="005E982C">
            <w:pPr>
              <w:jc w:val="left"/>
              <w:rPr>
                <w:rFonts w:hint="default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马克思主义与当代科技</w:t>
            </w:r>
          </w:p>
        </w:tc>
        <w:tc>
          <w:tcPr>
            <w:tcW w:w="570" w:type="dxa"/>
            <w:vAlign w:val="center"/>
          </w:tcPr>
          <w:p w14:paraId="48009093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18</w:t>
            </w:r>
          </w:p>
        </w:tc>
        <w:tc>
          <w:tcPr>
            <w:tcW w:w="520" w:type="dxa"/>
            <w:vAlign w:val="center"/>
          </w:tcPr>
          <w:p w14:paraId="58B720E8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1521" w:type="dxa"/>
            <w:vAlign w:val="center"/>
          </w:tcPr>
          <w:p w14:paraId="047653C7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576" w:type="dxa"/>
            <w:vAlign w:val="center"/>
          </w:tcPr>
          <w:p w14:paraId="4A78B78F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春</w:t>
            </w:r>
          </w:p>
        </w:tc>
      </w:tr>
      <w:tr w14:paraId="3C30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553" w:type="dxa"/>
            <w:vMerge w:val="continue"/>
            <w:vAlign w:val="center"/>
          </w:tcPr>
          <w:p w14:paraId="088DD88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44B7E258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5D73321E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FL5015</w:t>
            </w:r>
          </w:p>
        </w:tc>
        <w:tc>
          <w:tcPr>
            <w:tcW w:w="3730" w:type="dxa"/>
            <w:vAlign w:val="center"/>
          </w:tcPr>
          <w:p w14:paraId="2756952C">
            <w:pPr>
              <w:jc w:val="left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第一外国语（英语）First Foreign Language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仿宋_GB2312"/>
                <w:kern w:val="0"/>
                <w:sz w:val="18"/>
                <w:szCs w:val="18"/>
              </w:rPr>
              <w:t>(English)</w:t>
            </w:r>
          </w:p>
        </w:tc>
        <w:tc>
          <w:tcPr>
            <w:tcW w:w="570" w:type="dxa"/>
            <w:vAlign w:val="center"/>
          </w:tcPr>
          <w:p w14:paraId="3FA57E85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vAlign w:val="center"/>
          </w:tcPr>
          <w:p w14:paraId="4AF37D5F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7A1D832B">
            <w:pPr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外国语学院</w:t>
            </w:r>
            <w:r>
              <w:rPr>
                <w:rFonts w:eastAsia="仿宋_GB2312"/>
                <w:color w:val="000000"/>
                <w:sz w:val="18"/>
                <w:szCs w:val="18"/>
              </w:rPr>
              <w:t>/国际翻译学院</w:t>
            </w:r>
          </w:p>
        </w:tc>
        <w:tc>
          <w:tcPr>
            <w:tcW w:w="576" w:type="dxa"/>
            <w:vAlign w:val="center"/>
          </w:tcPr>
          <w:p w14:paraId="593E0AC5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秋</w:t>
            </w:r>
          </w:p>
        </w:tc>
      </w:tr>
      <w:tr w14:paraId="0BB4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553" w:type="dxa"/>
            <w:vMerge w:val="continue"/>
            <w:vAlign w:val="center"/>
          </w:tcPr>
          <w:p w14:paraId="1BA3E29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restart"/>
            <w:textDirection w:val="tbRlV"/>
            <w:vAlign w:val="center"/>
          </w:tcPr>
          <w:p w14:paraId="7937CEE1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1200" w:type="dxa"/>
            <w:vAlign w:val="center"/>
          </w:tcPr>
          <w:p w14:paraId="6D0897C1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DCS5224</w:t>
            </w:r>
          </w:p>
        </w:tc>
        <w:tc>
          <w:tcPr>
            <w:tcW w:w="3730" w:type="dxa"/>
            <w:vAlign w:val="center"/>
          </w:tcPr>
          <w:p w14:paraId="7DB2B76D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学术规范与论文写作</w:t>
            </w:r>
          </w:p>
          <w:p w14:paraId="4C33DB97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Academic norms and paper writing</w:t>
            </w:r>
          </w:p>
        </w:tc>
        <w:tc>
          <w:tcPr>
            <w:tcW w:w="570" w:type="dxa"/>
            <w:vAlign w:val="center"/>
          </w:tcPr>
          <w:p w14:paraId="7C7C0798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18</w:t>
            </w:r>
          </w:p>
        </w:tc>
        <w:tc>
          <w:tcPr>
            <w:tcW w:w="520" w:type="dxa"/>
            <w:vAlign w:val="center"/>
          </w:tcPr>
          <w:p w14:paraId="3D3C46F5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1521" w:type="dxa"/>
            <w:vAlign w:val="center"/>
          </w:tcPr>
          <w:p w14:paraId="4C7AFED8">
            <w:pPr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导师组</w:t>
            </w:r>
          </w:p>
        </w:tc>
        <w:tc>
          <w:tcPr>
            <w:tcW w:w="576" w:type="dxa"/>
            <w:vAlign w:val="center"/>
          </w:tcPr>
          <w:p w14:paraId="258F7624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必选</w:t>
            </w:r>
          </w:p>
        </w:tc>
      </w:tr>
      <w:tr w14:paraId="7918F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553" w:type="dxa"/>
            <w:vMerge w:val="continue"/>
            <w:vAlign w:val="center"/>
          </w:tcPr>
          <w:p w14:paraId="5D0E5A6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extDirection w:val="tbRlV"/>
            <w:vAlign w:val="center"/>
          </w:tcPr>
          <w:p w14:paraId="0AAF5938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03FE827A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6205</w:t>
            </w:r>
          </w:p>
        </w:tc>
        <w:tc>
          <w:tcPr>
            <w:tcW w:w="3730" w:type="dxa"/>
            <w:vAlign w:val="center"/>
          </w:tcPr>
          <w:p w14:paraId="55E04096">
            <w:pPr>
              <w:snapToGrid w:val="0"/>
              <w:contextualSpacing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应用泛函分析</w:t>
            </w:r>
          </w:p>
          <w:p w14:paraId="171A9229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Functional Analysis</w:t>
            </w:r>
          </w:p>
        </w:tc>
        <w:tc>
          <w:tcPr>
            <w:tcW w:w="570" w:type="dxa"/>
            <w:vAlign w:val="center"/>
          </w:tcPr>
          <w:p w14:paraId="7165F64C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vAlign w:val="center"/>
          </w:tcPr>
          <w:p w14:paraId="6FA6C5C8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6BFE7361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杨宏奇、陆遥</w:t>
            </w:r>
          </w:p>
        </w:tc>
        <w:tc>
          <w:tcPr>
            <w:tcW w:w="576" w:type="dxa"/>
            <w:vAlign w:val="center"/>
          </w:tcPr>
          <w:p w14:paraId="1B9D3578">
            <w:pPr>
              <w:spacing w:line="50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秋</w:t>
            </w:r>
          </w:p>
        </w:tc>
      </w:tr>
      <w:tr w14:paraId="31F8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</w:trPr>
        <w:tc>
          <w:tcPr>
            <w:tcW w:w="553" w:type="dxa"/>
            <w:vMerge w:val="continue"/>
            <w:vAlign w:val="center"/>
          </w:tcPr>
          <w:p w14:paraId="74B260A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extDirection w:val="tbRlV"/>
            <w:vAlign w:val="center"/>
          </w:tcPr>
          <w:p w14:paraId="7A329D96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02D4893E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703</w:t>
            </w:r>
          </w:p>
        </w:tc>
        <w:tc>
          <w:tcPr>
            <w:tcW w:w="3730" w:type="dxa"/>
            <w:vAlign w:val="center"/>
          </w:tcPr>
          <w:p w14:paraId="76819468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应用矩阵分析</w:t>
            </w:r>
          </w:p>
          <w:p w14:paraId="2EA1CBD8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Applied Matrix Analysis</w:t>
            </w:r>
          </w:p>
        </w:tc>
        <w:tc>
          <w:tcPr>
            <w:tcW w:w="570" w:type="dxa"/>
            <w:vAlign w:val="center"/>
          </w:tcPr>
          <w:p w14:paraId="1015D96B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vAlign w:val="center"/>
          </w:tcPr>
          <w:p w14:paraId="31428DFA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614D7AD2">
            <w:pPr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马锦华、陈川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衡益、蔡穗华</w:t>
            </w:r>
          </w:p>
        </w:tc>
        <w:tc>
          <w:tcPr>
            <w:tcW w:w="576" w:type="dxa"/>
            <w:vAlign w:val="center"/>
          </w:tcPr>
          <w:p w14:paraId="746DC3AC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春</w:t>
            </w:r>
          </w:p>
        </w:tc>
      </w:tr>
      <w:tr w14:paraId="5253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553" w:type="dxa"/>
            <w:vMerge w:val="continue"/>
            <w:vAlign w:val="center"/>
          </w:tcPr>
          <w:p w14:paraId="0FE923A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restart"/>
            <w:textDirection w:val="tbRlV"/>
            <w:vAlign w:val="center"/>
          </w:tcPr>
          <w:p w14:paraId="7E0A3514">
            <w:pPr>
              <w:spacing w:line="500" w:lineRule="exact"/>
              <w:ind w:left="113" w:right="113"/>
              <w:jc w:val="center"/>
              <w:rPr>
                <w:rFonts w:hint="default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专业方向</w:t>
            </w:r>
          </w:p>
        </w:tc>
        <w:tc>
          <w:tcPr>
            <w:tcW w:w="1200" w:type="dxa"/>
            <w:vAlign w:val="center"/>
          </w:tcPr>
          <w:p w14:paraId="68A337ED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DCS5701</w:t>
            </w:r>
          </w:p>
        </w:tc>
        <w:tc>
          <w:tcPr>
            <w:tcW w:w="3730" w:type="dxa"/>
            <w:vAlign w:val="center"/>
          </w:tcPr>
          <w:p w14:paraId="298E8529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学术前沿讲座</w:t>
            </w:r>
          </w:p>
          <w:p w14:paraId="5F7A0022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Academic Frontier Lecture</w:t>
            </w:r>
          </w:p>
        </w:tc>
        <w:tc>
          <w:tcPr>
            <w:tcW w:w="570" w:type="dxa"/>
            <w:vAlign w:val="center"/>
          </w:tcPr>
          <w:p w14:paraId="24EDF0B9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vAlign w:val="center"/>
          </w:tcPr>
          <w:p w14:paraId="5738A0CE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327DD022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导师组</w:t>
            </w:r>
          </w:p>
        </w:tc>
        <w:tc>
          <w:tcPr>
            <w:tcW w:w="576" w:type="dxa"/>
            <w:vAlign w:val="center"/>
          </w:tcPr>
          <w:p w14:paraId="1FA68544">
            <w:pPr>
              <w:jc w:val="center"/>
              <w:rPr>
                <w:rFonts w:hint="default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  <w:t>秋、春</w:t>
            </w:r>
          </w:p>
        </w:tc>
      </w:tr>
      <w:tr w14:paraId="4CF54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553" w:type="dxa"/>
            <w:vMerge w:val="continue"/>
            <w:vAlign w:val="center"/>
          </w:tcPr>
          <w:p w14:paraId="33F2CF9C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extDirection w:val="tbRlV"/>
            <w:vAlign w:val="center"/>
          </w:tcPr>
          <w:p w14:paraId="05136739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546B9720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5706</w:t>
            </w:r>
          </w:p>
        </w:tc>
        <w:tc>
          <w:tcPr>
            <w:tcW w:w="3730" w:type="dxa"/>
            <w:vAlign w:val="center"/>
          </w:tcPr>
          <w:p w14:paraId="2A6F8259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随机过程及应用</w:t>
            </w:r>
          </w:p>
          <w:p w14:paraId="3428317B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Stochastic Process and Its Applications</w:t>
            </w:r>
          </w:p>
        </w:tc>
        <w:tc>
          <w:tcPr>
            <w:tcW w:w="570" w:type="dxa"/>
            <w:vAlign w:val="center"/>
          </w:tcPr>
          <w:p w14:paraId="6F0B6620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vAlign w:val="center"/>
          </w:tcPr>
          <w:p w14:paraId="2359C0A7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45409737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马啸、龚杰、蔡穗华</w:t>
            </w:r>
          </w:p>
        </w:tc>
        <w:tc>
          <w:tcPr>
            <w:tcW w:w="576" w:type="dxa"/>
            <w:vAlign w:val="center"/>
          </w:tcPr>
          <w:p w14:paraId="59F5FCEF">
            <w:pPr>
              <w:jc w:val="center"/>
              <w:rPr>
                <w:rFonts w:hint="default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6B45B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553" w:type="dxa"/>
            <w:vMerge w:val="continue"/>
            <w:vAlign w:val="center"/>
          </w:tcPr>
          <w:p w14:paraId="780514F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extDirection w:val="tbRlV"/>
            <w:vAlign w:val="center"/>
          </w:tcPr>
          <w:p w14:paraId="76035512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78E39D08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DCS5209</w:t>
            </w:r>
          </w:p>
        </w:tc>
        <w:tc>
          <w:tcPr>
            <w:tcW w:w="3730" w:type="dxa"/>
            <w:vAlign w:val="center"/>
          </w:tcPr>
          <w:p w14:paraId="030A5A21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高等数值计算方法</w:t>
            </w:r>
          </w:p>
          <w:p w14:paraId="1C6318BF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Higher Numerical Calculation Methods</w:t>
            </w:r>
          </w:p>
        </w:tc>
        <w:tc>
          <w:tcPr>
            <w:tcW w:w="570" w:type="dxa"/>
            <w:vAlign w:val="center"/>
          </w:tcPr>
          <w:p w14:paraId="32E5B137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vAlign w:val="center"/>
          </w:tcPr>
          <w:p w14:paraId="30CC6AAA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2D24D3E0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邹青松、谭志军、汪涛、黎卫兵</w:t>
            </w:r>
          </w:p>
        </w:tc>
        <w:tc>
          <w:tcPr>
            <w:tcW w:w="576" w:type="dxa"/>
            <w:vAlign w:val="center"/>
          </w:tcPr>
          <w:p w14:paraId="78E1033A">
            <w:pPr>
              <w:jc w:val="center"/>
              <w:rPr>
                <w:rFonts w:hint="default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4D81B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553" w:type="dxa"/>
            <w:vMerge w:val="continue"/>
            <w:vAlign w:val="center"/>
          </w:tcPr>
          <w:p w14:paraId="6C04BB1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vMerge w:val="continue"/>
            <w:textDirection w:val="tbRlV"/>
            <w:vAlign w:val="center"/>
          </w:tcPr>
          <w:p w14:paraId="0C89A5F1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 w14:paraId="17AFC088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DCS5203</w:t>
            </w:r>
          </w:p>
        </w:tc>
        <w:tc>
          <w:tcPr>
            <w:tcW w:w="3730" w:type="dxa"/>
            <w:vAlign w:val="center"/>
          </w:tcPr>
          <w:p w14:paraId="237F6160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最优化理论与方法</w:t>
            </w:r>
          </w:p>
          <w:p w14:paraId="77D0179B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Theory and Algorithms for Optimization</w:t>
            </w:r>
          </w:p>
        </w:tc>
        <w:tc>
          <w:tcPr>
            <w:tcW w:w="570" w:type="dxa"/>
            <w:vAlign w:val="center"/>
          </w:tcPr>
          <w:p w14:paraId="1A0039AF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vAlign w:val="center"/>
          </w:tcPr>
          <w:p w14:paraId="15B1B409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5D547F5B"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胡建芳、凌青、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杨磊、李洽</w:t>
            </w:r>
          </w:p>
        </w:tc>
        <w:tc>
          <w:tcPr>
            <w:tcW w:w="576" w:type="dxa"/>
            <w:vAlign w:val="center"/>
          </w:tcPr>
          <w:p w14:paraId="0DA6A7D8">
            <w:pPr>
              <w:jc w:val="center"/>
              <w:rPr>
                <w:rFonts w:hint="default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2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4FD02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restart"/>
            <w:textDirection w:val="tbRlV"/>
            <w:vAlign w:val="center"/>
          </w:tcPr>
          <w:p w14:paraId="21429BA2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  <w:t>选修课</w:t>
            </w: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13596B7F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DCS5233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6FE796C7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界面问题数值方法</w:t>
            </w:r>
          </w:p>
          <w:p w14:paraId="3DF4D981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Numerical Methods for Interface Problems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386026B4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5BB99889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7A1DB51B">
            <w:pPr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谭志军</w:t>
            </w:r>
          </w:p>
        </w:tc>
        <w:tc>
          <w:tcPr>
            <w:tcW w:w="576" w:type="dxa"/>
            <w:vAlign w:val="center"/>
          </w:tcPr>
          <w:p w14:paraId="60B9B7E1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春</w:t>
            </w:r>
          </w:p>
        </w:tc>
      </w:tr>
      <w:tr w14:paraId="0BF2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48784C71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2705F24B">
            <w:pPr>
              <w:jc w:val="center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5707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7BD50192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人工智能原理与方法</w:t>
            </w:r>
          </w:p>
          <w:p w14:paraId="279CEB38">
            <w:pPr>
              <w:jc w:val="left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Principles and Methods of Artificial Intelligence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4ECEC731">
            <w:pPr>
              <w:jc w:val="center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4DE55255">
            <w:pPr>
              <w:jc w:val="center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59A2203A">
            <w:pPr>
              <w:jc w:val="center"/>
              <w:rPr>
                <w:rFonts w:hint="eastAsia"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王甲海、潘嵘、饶洋辉、林</w:t>
            </w: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  <w:t>倞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、李冠彬、赖韩江、苏勤亮、梁上松、曾坤、吴贺俊</w:t>
            </w:r>
          </w:p>
        </w:tc>
        <w:tc>
          <w:tcPr>
            <w:tcW w:w="576" w:type="dxa"/>
            <w:vAlign w:val="center"/>
          </w:tcPr>
          <w:p w14:paraId="1FE3799C">
            <w:pPr>
              <w:spacing w:line="500" w:lineRule="exact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kern w:val="0"/>
                <w:sz w:val="18"/>
                <w:szCs w:val="18"/>
                <w:lang w:val="en-US" w:eastAsia="zh-CN"/>
              </w:rPr>
              <w:t>秋</w:t>
            </w:r>
          </w:p>
        </w:tc>
      </w:tr>
      <w:tr w14:paraId="318CB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4ED81292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6E91B08F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495A32BD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现代偏微分方程计算方法</w:t>
            </w:r>
          </w:p>
          <w:p w14:paraId="1F60A76C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Modern Methods for Calculating Partial Differential Equations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30614AB7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1C33ECCF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1B63FB0F"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邹青松、谭志军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汪涛</w:t>
            </w:r>
          </w:p>
        </w:tc>
        <w:tc>
          <w:tcPr>
            <w:tcW w:w="576" w:type="dxa"/>
            <w:vAlign w:val="center"/>
          </w:tcPr>
          <w:p w14:paraId="6D4CBBEA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4DAB9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65A97067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275625D6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5705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0192BCEB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计算机程序理论与模型</w:t>
            </w:r>
          </w:p>
          <w:p w14:paraId="650F44FA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Computer Program Theory and Modeling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19C48635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7B05D5F1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5A1ED6A2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万海</w:t>
            </w:r>
          </w:p>
        </w:tc>
        <w:tc>
          <w:tcPr>
            <w:tcW w:w="576" w:type="dxa"/>
            <w:vAlign w:val="center"/>
          </w:tcPr>
          <w:p w14:paraId="59A1E343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413A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6E4A5281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750D25EF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DCS5256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4EFE5D68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复变函数</w:t>
            </w:r>
          </w:p>
          <w:p w14:paraId="2C748B81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Functions of Complex Variables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3E551104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5E27C5E5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15308A8D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骆伟祺</w:t>
            </w:r>
          </w:p>
        </w:tc>
        <w:tc>
          <w:tcPr>
            <w:tcW w:w="576" w:type="dxa"/>
            <w:vAlign w:val="center"/>
          </w:tcPr>
          <w:p w14:paraId="2B89769C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4E2EC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1C0994E4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4873A672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DCS5235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1C7E0CE6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线性积分方程理论与算法</w:t>
            </w:r>
          </w:p>
          <w:p w14:paraId="75633084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Theory and Algorithms of Linear Integral Equations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44B77E76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5F0C4CBF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364F82C4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江颖、衡益</w:t>
            </w:r>
          </w:p>
        </w:tc>
        <w:tc>
          <w:tcPr>
            <w:tcW w:w="576" w:type="dxa"/>
            <w:vAlign w:val="center"/>
          </w:tcPr>
          <w:p w14:paraId="0D1DFF5E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6B58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0D7970B7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048800C4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DCS5237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65AE1BEE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量子计算</w:t>
            </w:r>
          </w:p>
          <w:p w14:paraId="5626C4C7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Quantum Computation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16CB2D76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0E378600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6A962595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邱道文、李绿周</w:t>
            </w:r>
          </w:p>
        </w:tc>
        <w:tc>
          <w:tcPr>
            <w:tcW w:w="576" w:type="dxa"/>
            <w:vAlign w:val="center"/>
          </w:tcPr>
          <w:p w14:paraId="5405C363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14C9A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56AEB2CE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21D777AF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DCS5704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2F84130C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量子信息论与编码</w:t>
            </w:r>
          </w:p>
          <w:p w14:paraId="626FE3BA">
            <w:pPr>
              <w:jc w:val="left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Quantum Information Theory and Coding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16B6A755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1D10799E">
            <w:pPr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41F6F12E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马啸、李绿周</w:t>
            </w:r>
          </w:p>
        </w:tc>
        <w:tc>
          <w:tcPr>
            <w:tcW w:w="576" w:type="dxa"/>
            <w:vAlign w:val="center"/>
          </w:tcPr>
          <w:p w14:paraId="493C6CFB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109BB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1BADAEE7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523787DE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DCS5230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337C7BFB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有限域基础</w:t>
            </w:r>
          </w:p>
          <w:p w14:paraId="56D1E405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Introduction to Finite Fields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23EF8D13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3AEFC80F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57AD8C7A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韦宝典、杜育松</w:t>
            </w:r>
          </w:p>
        </w:tc>
        <w:tc>
          <w:tcPr>
            <w:tcW w:w="576" w:type="dxa"/>
            <w:vAlign w:val="center"/>
          </w:tcPr>
          <w:p w14:paraId="4B4EC283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11DA5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158E3D8B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2BEBA069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DCS5206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3F96A12A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数字图像处理</w:t>
            </w:r>
          </w:p>
          <w:p w14:paraId="542D4AB6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Digital Image Processing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446CC491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4DCEFC98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2839ECA8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谢晓华、赖剑煌、郑慧诚、刘宁、曾坤、潘炎、张青</w:t>
            </w:r>
          </w:p>
        </w:tc>
        <w:tc>
          <w:tcPr>
            <w:tcW w:w="576" w:type="dxa"/>
            <w:vAlign w:val="center"/>
          </w:tcPr>
          <w:p w14:paraId="111C807E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0F319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5255E6A4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074ECDD9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DCS5232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255C7F37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深度学习前沿</w:t>
            </w:r>
          </w:p>
          <w:p w14:paraId="39596B67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Frontiers of Deep Learning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2A27265F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4FCF587A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4325EBD3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张冬雨、潘炎、李冠彬、王可泽</w:t>
            </w:r>
          </w:p>
        </w:tc>
        <w:tc>
          <w:tcPr>
            <w:tcW w:w="576" w:type="dxa"/>
            <w:vAlign w:val="center"/>
          </w:tcPr>
          <w:p w14:paraId="4A30290D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0923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347D57EF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6E98001C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DCS7202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5FE71AF2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模式识别</w:t>
            </w:r>
          </w:p>
          <w:p w14:paraId="1D2A92CD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Pattern Recognition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2A6945D4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54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25854FD3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1521" w:type="dxa"/>
            <w:vAlign w:val="center"/>
          </w:tcPr>
          <w:p w14:paraId="6186A2ED"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郑伟诗、郑慧诚、胡建芳、马锦华、王瑞轩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王昌栋</w:t>
            </w:r>
          </w:p>
        </w:tc>
        <w:tc>
          <w:tcPr>
            <w:tcW w:w="576" w:type="dxa"/>
            <w:vAlign w:val="center"/>
          </w:tcPr>
          <w:p w14:paraId="3F239CCF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2B4C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6A674EC0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38E9B853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DCS5234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28CB3516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自然语言处理</w:t>
            </w:r>
          </w:p>
          <w:p w14:paraId="2555372E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Natural Language Processing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316AD283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7DC7A52D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0ACA127E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潘嵘</w:t>
            </w:r>
          </w:p>
        </w:tc>
        <w:tc>
          <w:tcPr>
            <w:tcW w:w="576" w:type="dxa"/>
            <w:vAlign w:val="center"/>
          </w:tcPr>
          <w:p w14:paraId="6C47B3EC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678A7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584285A7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2F1223E5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DCS5257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3DFBC7CA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强化学习原理及应用</w:t>
            </w:r>
          </w:p>
          <w:p w14:paraId="45EC3ACE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Principles and Applications of Reinforcement Learning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1F553E42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4D821CEF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076311DA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余超</w:t>
            </w:r>
          </w:p>
        </w:tc>
        <w:tc>
          <w:tcPr>
            <w:tcW w:w="576" w:type="dxa"/>
            <w:vAlign w:val="center"/>
          </w:tcPr>
          <w:p w14:paraId="4062E4E9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0EA9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6EF94678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2E662CC5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DCS5242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208B0A7C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密码学前沿技术</w:t>
            </w:r>
          </w:p>
          <w:p w14:paraId="47E2F529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Advanced Topics of Modern Cryptography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115FE791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2423D766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15BBFD7A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张方国、田海博</w:t>
            </w:r>
          </w:p>
        </w:tc>
        <w:tc>
          <w:tcPr>
            <w:tcW w:w="576" w:type="dxa"/>
            <w:vAlign w:val="center"/>
          </w:tcPr>
          <w:p w14:paraId="7C7EF7AB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48AF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6CCC0ACE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31C6DAE4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DCS5253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1657C716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生物信息计算前沿</w:t>
            </w:r>
          </w:p>
          <w:p w14:paraId="46B9675E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Frontiers of Bioinformatics Computing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2F7A8A0B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1044E99E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5331037C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杨跃东</w:t>
            </w: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王瑞轩、王桢</w:t>
            </w:r>
          </w:p>
        </w:tc>
        <w:tc>
          <w:tcPr>
            <w:tcW w:w="576" w:type="dxa"/>
            <w:vAlign w:val="center"/>
          </w:tcPr>
          <w:p w14:paraId="2E5BE8C1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秋</w:t>
            </w:r>
          </w:p>
        </w:tc>
      </w:tr>
      <w:tr w14:paraId="04212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0BA4C0E7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vAlign w:val="center"/>
          </w:tcPr>
          <w:p w14:paraId="0D29F087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DCS5260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vAlign w:val="center"/>
          </w:tcPr>
          <w:p w14:paraId="1CD16B4B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HPC+AI科学计算前沿</w:t>
            </w:r>
          </w:p>
          <w:p w14:paraId="69F89529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HPC+AI for Science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14:paraId="58F57624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</w:t>
            </w:r>
            <w:r>
              <w:rPr>
                <w:rFonts w:eastAsia="仿宋_GB2312"/>
                <w:kern w:val="0"/>
                <w:sz w:val="18"/>
                <w:szCs w:val="18"/>
              </w:rPr>
              <w:t>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vAlign w:val="center"/>
          </w:tcPr>
          <w:p w14:paraId="69583A22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vAlign w:val="center"/>
          </w:tcPr>
          <w:p w14:paraId="16E20F57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江颖等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导师组</w:t>
            </w:r>
            <w:bookmarkStart w:id="0" w:name="_GoBack"/>
            <w:bookmarkEnd w:id="0"/>
          </w:p>
        </w:tc>
        <w:tc>
          <w:tcPr>
            <w:tcW w:w="576" w:type="dxa"/>
            <w:vAlign w:val="center"/>
          </w:tcPr>
          <w:p w14:paraId="4B887BA5">
            <w:pPr>
              <w:spacing w:line="500" w:lineRule="exact"/>
              <w:jc w:val="center"/>
              <w:rPr>
                <w:rFonts w:hint="default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7E9E8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47A5D7F8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AB9E0EF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DCS5702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8D229FF">
            <w:pPr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人工智能大数据与超算融合系统</w:t>
            </w:r>
          </w:p>
          <w:p w14:paraId="53D9DA98">
            <w:pPr>
              <w:jc w:val="left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Artificial Intelligence Big Data and Supercomputing Integrated System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C89456F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7B9898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DFCEBD6">
            <w:pPr>
              <w:jc w:val="center"/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吴维刚、江颖、陈志广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057162B5">
            <w:pPr>
              <w:spacing w:line="500" w:lineRule="exact"/>
              <w:jc w:val="center"/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华文仿宋" w:eastAsia="仿宋_GB2312" w:cs="Times New Roman"/>
                <w:kern w:val="0"/>
                <w:sz w:val="18"/>
                <w:szCs w:val="18"/>
                <w:lang w:val="en-US" w:eastAsia="zh-CN" w:bidi="ar-SA"/>
              </w:rPr>
              <w:t>春</w:t>
            </w:r>
          </w:p>
        </w:tc>
      </w:tr>
      <w:tr w14:paraId="237C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063" w:type="dxa"/>
            <w:gridSpan w:val="2"/>
            <w:vMerge w:val="continue"/>
            <w:textDirection w:val="tbRlV"/>
            <w:vAlign w:val="center"/>
          </w:tcPr>
          <w:p w14:paraId="3F8B00B0">
            <w:pPr>
              <w:spacing w:line="500" w:lineRule="exact"/>
              <w:ind w:left="113" w:right="113"/>
              <w:jc w:val="center"/>
              <w:rPr>
                <w:rFonts w:hint="eastAsia" w:ascii="仿宋_GB2312" w:hAnsi="华文仿宋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38EC83">
            <w:pPr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DCS5719</w:t>
            </w:r>
          </w:p>
        </w:tc>
        <w:tc>
          <w:tcPr>
            <w:tcW w:w="373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18FBA5E">
            <w:pPr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生成式人工智能</w:t>
            </w: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Generative AI</w:t>
            </w:r>
          </w:p>
        </w:tc>
        <w:tc>
          <w:tcPr>
            <w:tcW w:w="57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3213E7A">
            <w:pPr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5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4B96C">
            <w:pPr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0210F85">
            <w:pPr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林倞、王广润、魏朋旭</w:t>
            </w:r>
          </w:p>
        </w:tc>
        <w:tc>
          <w:tcPr>
            <w:tcW w:w="576" w:type="dxa"/>
            <w:shd w:val="clear" w:color="auto" w:fill="auto"/>
            <w:vAlign w:val="top"/>
          </w:tcPr>
          <w:p w14:paraId="37F4D0EA"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</w:p>
        </w:tc>
      </w:tr>
    </w:tbl>
    <w:p w14:paraId="2EDA4B61">
      <w:pPr>
        <w:numPr>
          <w:ilvl w:val="0"/>
          <w:numId w:val="0"/>
        </w:numPr>
        <w:spacing w:line="500" w:lineRule="exact"/>
        <w:ind w:left="567" w:leftChars="0"/>
        <w:rPr>
          <w:rFonts w:hint="eastAsia" w:eastAsia="黑体"/>
          <w:bCs/>
          <w:sz w:val="32"/>
          <w:szCs w:val="32"/>
          <w:lang w:eastAsia="zh-CN"/>
        </w:rPr>
      </w:pPr>
    </w:p>
    <w:p w14:paraId="3D2622E9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培养环节与要求</w:t>
      </w:r>
    </w:p>
    <w:p w14:paraId="7B160E85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hint="eastAsia" w:eastAsia="仿宋_GB2312"/>
          <w:sz w:val="28"/>
          <w:szCs w:val="28"/>
        </w:rPr>
        <w:t>入学后三个月内须与导师协商制定个人培养计划。</w:t>
      </w:r>
    </w:p>
    <w:p w14:paraId="18380845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2. 一般应在导师指导下参加讨论班、读书报告、学术活动等。</w:t>
      </w:r>
    </w:p>
    <w:p w14:paraId="38A1ED99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3. 在第二学年秋季学期结束前进行开题报告。</w:t>
      </w:r>
    </w:p>
    <w:p w14:paraId="3724D8B4">
      <w:pPr>
        <w:adjustRightInd w:val="0"/>
        <w:snapToGrid w:val="0"/>
        <w:spacing w:line="500" w:lineRule="exact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4. 在第二学年春季学期结束前进行中期考核</w:t>
      </w:r>
      <w:r>
        <w:rPr>
          <w:rFonts w:eastAsia="仿宋_GB2312"/>
          <w:sz w:val="28"/>
          <w:szCs w:val="28"/>
        </w:rPr>
        <w:t>。</w:t>
      </w:r>
      <w:r>
        <w:rPr>
          <w:rFonts w:hint="eastAsia" w:eastAsia="仿宋_GB2312"/>
          <w:sz w:val="28"/>
          <w:szCs w:val="28"/>
        </w:rPr>
        <w:t>开题报告与中期考核工作时间间隔一般不少于6个月。</w:t>
      </w:r>
    </w:p>
    <w:p w14:paraId="5381EB42">
      <w:pPr>
        <w:adjustRightInd w:val="0"/>
        <w:snapToGrid w:val="0"/>
        <w:spacing w:line="500" w:lineRule="exact"/>
        <w:ind w:firstLine="560" w:firstLineChars="200"/>
        <w:rPr>
          <w:rFonts w:hint="eastAsia" w:eastAsia="仿宋_GB2312"/>
          <w:sz w:val="28"/>
          <w:szCs w:val="28"/>
        </w:rPr>
      </w:pPr>
    </w:p>
    <w:p w14:paraId="1B9A4E3B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学位论文</w:t>
      </w:r>
    </w:p>
    <w:p w14:paraId="09B7E2F0">
      <w:pPr>
        <w:adjustRightInd w:val="0"/>
        <w:snapToGrid w:val="0"/>
        <w:spacing w:line="500" w:lineRule="exact"/>
        <w:ind w:firstLine="560" w:firstLineChars="200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1. 学位论文应在导师指导下独立完成。硕士研究生应至少有二分之一时间完成学位论文。</w:t>
      </w:r>
    </w:p>
    <w:p w14:paraId="6E89B8D2">
      <w:pPr>
        <w:adjustRightInd w:val="0"/>
        <w:snapToGrid w:val="0"/>
        <w:spacing w:line="500" w:lineRule="exact"/>
        <w:ind w:firstLine="560" w:firstLineChars="200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2. 学位论文写作规范参照《中山大学学位与研究生教育工作手册》的有关规定执行。</w:t>
      </w:r>
    </w:p>
    <w:p w14:paraId="348453DD">
      <w:pPr>
        <w:adjustRightInd w:val="0"/>
        <w:snapToGrid w:val="0"/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</w:rPr>
        <w:t>3. 硕士学位论文应对科学研究、技术进步、经济建设或社会建设有一定的理论和实践意义；应体现作者基本掌握本学科领域的研究方法和技能，具有一定的分析问题和解决问题的能力；论文内容应充分反映作者具有坚实的基础理论和系统的专门知识；论文要符合科学研究的规范，应具有新见解或新成果，结论应符合逻辑。</w:t>
      </w:r>
    </w:p>
    <w:p w14:paraId="53921DA0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论文答辩与学位授予</w:t>
      </w:r>
    </w:p>
    <w:p w14:paraId="278762E3">
      <w:pPr>
        <w:adjustRightInd w:val="0"/>
        <w:snapToGrid w:val="0"/>
        <w:spacing w:line="500" w:lineRule="exact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硕士研究生修满培养方案规定的学分，课程考核合格，方可申请学位论文答辩。学位论文经导师审阅同意，通过预答辩、重合度检测后，方可申请送审，硕士论文评阅人应是本学科较高水平专家，每篇硕士学位论文评阅人一般为3名。学位论文经评阅人评审认为达到与申请学位相应的学术水平，方可组织答辩会。硕士答辩委员会由3-5人组成，须有外单位专家参加。论文答辩程序严格根据《中山大学博士硕士学位授予工作细则》的规定执行。通过硕士学位论文答辩者，经学部学位评定委员会审核、学校学位评定委员会审批，可授予理学硕士学位。</w:t>
      </w:r>
    </w:p>
    <w:p w14:paraId="07F06D3B">
      <w:pPr>
        <w:adjustRightInd w:val="0"/>
        <w:snapToGrid w:val="0"/>
        <w:spacing w:line="500" w:lineRule="exact"/>
        <w:ind w:firstLine="560" w:firstLineChars="200"/>
        <w:rPr>
          <w:rFonts w:hint="eastAsia" w:eastAsia="仿宋_GB2312"/>
          <w:sz w:val="28"/>
          <w:szCs w:val="28"/>
        </w:rPr>
      </w:pPr>
    </w:p>
    <w:p w14:paraId="0FE95730">
      <w:pPr>
        <w:numPr>
          <w:ilvl w:val="0"/>
          <w:numId w:val="1"/>
        </w:numPr>
        <w:spacing w:line="500" w:lineRule="exact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 xml:space="preserve"> 必读和选读书目</w:t>
      </w:r>
    </w:p>
    <w:p w14:paraId="54D6A183">
      <w:pPr>
        <w:adjustRightInd w:val="0"/>
        <w:snapToGrid w:val="0"/>
        <w:spacing w:line="500" w:lineRule="exact"/>
        <w:jc w:val="left"/>
        <w:rPr>
          <w:rFonts w:hint="eastAsia" w:ascii="仿宋_GB2312" w:hAnsi="宋体" w:eastAsia="仿宋_GB2312"/>
          <w:b/>
          <w:sz w:val="28"/>
          <w:szCs w:val="28"/>
        </w:rPr>
      </w:pPr>
    </w:p>
    <w:p w14:paraId="48FEEFE3">
      <w:pPr>
        <w:adjustRightInd w:val="0"/>
        <w:snapToGrid w:val="0"/>
        <w:spacing w:line="500" w:lineRule="exact"/>
        <w:jc w:val="left"/>
        <w:rPr>
          <w:rFonts w:ascii="仿宋_GB2312" w:eastAsia="仿宋_GB2312"/>
        </w:rPr>
      </w:pPr>
      <w:r>
        <w:rPr>
          <w:rFonts w:hint="eastAsia" w:ascii="仿宋_GB2312" w:hAnsi="宋体" w:eastAsia="仿宋_GB2312"/>
          <w:b/>
          <w:sz w:val="28"/>
          <w:szCs w:val="28"/>
        </w:rPr>
        <w:t>计算数学方向</w:t>
      </w:r>
    </w:p>
    <w:tbl>
      <w:tblPr>
        <w:tblStyle w:val="18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680"/>
        <w:gridCol w:w="1980"/>
        <w:gridCol w:w="1440"/>
      </w:tblGrid>
      <w:tr w14:paraId="29595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5B45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序号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5A9B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著作或期刊名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C4EB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作者或出版社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45A4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必读或选读</w:t>
            </w:r>
          </w:p>
        </w:tc>
      </w:tr>
      <w:tr w14:paraId="532D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769A8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D366F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泛函分析（上册）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E297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张恭庆、林源渠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8F49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340B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8E1A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68076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索波列夫空间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2E2D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李立康、郭毓驹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18D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127A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DE69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322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Functional Analysis（泛函分析）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97528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Rudin（美），赵俊峰、刘培德译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0820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6C1A7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35D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245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C程序设计语言（The C Programming Language）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F01B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Prentice Hall（清华大学出版社）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EEEC3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6618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6CF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5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DBEC1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数据结构C++语言描述（Data Structures with C++）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BE47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Prentice Hall （清华大学出版社）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81706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2390F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549A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8168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面向对象系统的使用实例图（Use Case Maps for Object-Oriented Systems）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66C4D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清华大学出版社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5A5A8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57FB2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FDAA9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44A7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软件工程（Software Engineering）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A164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杨文龙等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60B4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1E2CA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E2978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8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9CA7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数值分析引论（An Introduction to Numerical Analysis）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92A53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K.E. 阿特金森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965A1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E15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C3549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9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4FFC0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数值分析 （Numerical Analysis）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40E2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颜庆津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F470E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26DF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2329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10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86A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矩阵计算引论 （An Introduction to Matrix Computation）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8C5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G.W. 斯图尔特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0ACBE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258B7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C2D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40EC6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Matrix Analysis （矩阵分析）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772D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R.A. Horn, C.R. Fohnson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2CD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742C3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1FB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12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B660E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Matrix Computation （矩阵计算）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7238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G.H. Golub, C.F. Van Loan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5A1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1C573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6FAB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D1C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Computer Graphics, C Version 2nd Ed （计算机图形学（C语言版），第二版）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5C2C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清华大学出版社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D912D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52287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5FE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82F7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Computer Networks, 3 rd ED（计算机网络，第三版）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A15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清华大学出版社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D6B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6D734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52D5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15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592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Multimedia: Computing, Communications &amp; Applications （多媒体技术：计算、通信及应用）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DA1B4">
            <w:pPr>
              <w:widowControl/>
              <w:spacing w:before="100" w:beforeAutospacing="1" w:after="100" w:afterAutospacing="1"/>
              <w:ind w:firstLine="180" w:firstLineChars="10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Prentice Hall（清华大学出版社）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840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2DB2A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11C3D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3E61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中国科学（Science in China）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6F092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7E901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7CBE0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2BD4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C4ED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计算数学（Journal of Computational Mathematics）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8F2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F1AA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3F2B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9FDC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18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9E30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数值计算与计算机应用（Journal on Numerical Methods and Computer Applications）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848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0ECD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7C5DC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AD3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19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BCC2E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Computer Math. Appl.（计算机数学应用）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D93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673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3866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D04B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20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A5252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SIAM J. Numer. Anal. （SIAM数值分析）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E0F8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7410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AF33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B57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21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E8C8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SIAM J. Scientific Computing （SIAM科学计算）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A03DF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32DD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569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95AD8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22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EF7F3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M</w:t>
            </w:r>
            <w:r>
              <w:rPr>
                <w:rFonts w:eastAsia="仿宋_GB2312"/>
                <w:sz w:val="18"/>
                <w:szCs w:val="18"/>
              </w:rPr>
              <w:t>atrix Computations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AD2E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G</w:t>
            </w:r>
            <w:r>
              <w:rPr>
                <w:rFonts w:eastAsia="仿宋_GB2312"/>
                <w:sz w:val="18"/>
                <w:szCs w:val="18"/>
              </w:rPr>
              <w:t>. H. Golub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9FFE0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1F0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F8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34C7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矩阵计算的理论及方法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9F8F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徐树方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1770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63BD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E99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75D6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A</w:t>
            </w:r>
            <w:r>
              <w:rPr>
                <w:rFonts w:eastAsia="仿宋_GB2312"/>
                <w:sz w:val="18"/>
                <w:szCs w:val="18"/>
              </w:rPr>
              <w:t>n Introduction to Optimization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85D8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 E. K. Chong&amp;S. Zak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89BC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5C21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FC9C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25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BCE2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T</w:t>
            </w:r>
            <w:r>
              <w:rPr>
                <w:rFonts w:eastAsia="仿宋_GB2312"/>
                <w:sz w:val="18"/>
                <w:szCs w:val="18"/>
              </w:rPr>
              <w:t>he Top Ten Algorithms in Data M</w:t>
            </w:r>
            <w:r>
              <w:rPr>
                <w:rFonts w:hint="eastAsia" w:eastAsia="仿宋_GB2312"/>
                <w:sz w:val="18"/>
                <w:szCs w:val="18"/>
              </w:rPr>
              <w:t>i</w:t>
            </w:r>
            <w:r>
              <w:rPr>
                <w:rFonts w:eastAsia="仿宋_GB2312"/>
                <w:sz w:val="18"/>
                <w:szCs w:val="18"/>
              </w:rPr>
              <w:t>ning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15EE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 X. Wu&amp;V. Kumar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2937D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3D4F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9F93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BD47A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计算数学</w:t>
            </w:r>
            <w:r>
              <w:rPr>
                <w:rFonts w:eastAsia="仿宋_GB2312"/>
                <w:sz w:val="18"/>
                <w:szCs w:val="18"/>
              </w:rPr>
              <w:t xml:space="preserve"> </w:t>
            </w:r>
            <w:r>
              <w:rPr>
                <w:rFonts w:hint="eastAsia"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M</w:t>
            </w:r>
            <w:r>
              <w:rPr>
                <w:rFonts w:hint="eastAsia" w:eastAsia="仿宋_GB2312"/>
                <w:sz w:val="18"/>
                <w:szCs w:val="18"/>
              </w:rPr>
              <w:t>athe</w:t>
            </w:r>
            <w:r>
              <w:rPr>
                <w:rFonts w:eastAsia="仿宋_GB2312"/>
                <w:sz w:val="18"/>
                <w:szCs w:val="18"/>
              </w:rPr>
              <w:t>matica Numerica Sinica</w:t>
            </w:r>
            <w:r>
              <w:rPr>
                <w:rFonts w:hint="eastAsia" w:eastAsia="仿宋_GB2312"/>
                <w:sz w:val="18"/>
                <w:szCs w:val="18"/>
              </w:rPr>
              <w:t>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506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0FBB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5939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F1EA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C17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高等学校计算数学学报（N</w:t>
            </w:r>
            <w:r>
              <w:rPr>
                <w:rFonts w:eastAsia="仿宋_GB2312"/>
                <w:sz w:val="18"/>
                <w:szCs w:val="18"/>
              </w:rPr>
              <w:t>umerical Mathematics-A J</w:t>
            </w:r>
            <w:r>
              <w:rPr>
                <w:rFonts w:hint="eastAsia" w:eastAsia="仿宋_GB2312"/>
                <w:sz w:val="18"/>
                <w:szCs w:val="18"/>
              </w:rPr>
              <w:t>ournal</w:t>
            </w:r>
            <w:r>
              <w:rPr>
                <w:rFonts w:eastAsia="仿宋_GB2312"/>
                <w:sz w:val="18"/>
                <w:szCs w:val="18"/>
              </w:rPr>
              <w:t xml:space="preserve"> of Chinese Universities</w:t>
            </w:r>
            <w:r>
              <w:rPr>
                <w:rFonts w:hint="eastAsia" w:eastAsia="仿宋_GB2312"/>
                <w:sz w:val="18"/>
                <w:szCs w:val="18"/>
              </w:rPr>
              <w:t>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6A390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DAC5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5E92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C98D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28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16AB8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SIAM Review (SIAM 评论）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E82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26C80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0B8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B66E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29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69F9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SIAM Journal on Computing（SIAM 计算）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63256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E11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549E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B661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30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916CA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SIAM Journal on Matrix Analysis and Applications （SIAM 矩阵分析及应用）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C27C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F332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3B92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4622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7222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SIAM Journal on Mathematical Analysis （SIAM 数学分析）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608D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BFD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6F47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DDF1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32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594D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Mathematics of Computation （计算数学）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90DD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12DD3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F523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9E6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AAD3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Numerische Mathematik （计算数学）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3860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A5240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5B22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08EC2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19353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Journal of Computational Physisc (计算物理)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DB1BE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90A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7BAD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D429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35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069C1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Journal of Computational and Applied Mathematics （计算与应用数学）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5F537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D329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1521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C5E2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36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48D74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Inverse Problems （反问题）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37715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C0F3C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</w:tbl>
    <w:p w14:paraId="391C622E">
      <w:pPr>
        <w:adjustRightInd w:val="0"/>
        <w:snapToGrid w:val="0"/>
        <w:spacing w:line="500" w:lineRule="exact"/>
        <w:jc w:val="left"/>
        <w:rPr>
          <w:rFonts w:eastAsia="仿宋_GB2312"/>
          <w:b/>
          <w:sz w:val="28"/>
          <w:szCs w:val="28"/>
        </w:rPr>
      </w:pPr>
    </w:p>
    <w:tbl>
      <w:tblPr>
        <w:tblStyle w:val="18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4680"/>
        <w:gridCol w:w="1980"/>
        <w:gridCol w:w="1440"/>
      </w:tblGrid>
      <w:tr w14:paraId="6AA23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749A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35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22D1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IEEE Software Magazine （IEEE软件杂志）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B112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2F73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87DA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778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6F33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ACM Transact on  Mathematical Software （美国计算机学会数学软件）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CA2E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345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34CF6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8692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744B3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J. Math. Biology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7C1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B678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658F5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81D5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38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9B94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J. Math Chemistry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384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ADBC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1754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328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39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2D3E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J. Math. Economy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8E12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A2D9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0DCC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C33A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40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5ADE9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Pattern Recogntion （模式识别）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D983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638C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70C6A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04F37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41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BC84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IEEE Transactions on information theory （IEEE信息理论）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FBDC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1019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305D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1A9C8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42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B09A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IEEE transactions on PAMI （IEEE模式分析与机器智能）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A3F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BD8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3643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0B86E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43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010BA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IEEE transactions on SP （IEEE 信号处理）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E9552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5E40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0FAB8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3A2C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44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7E9FB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IEEE transactions on IP （IEEE 图像处理）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8258A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4F36D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8E71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4178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45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47176">
            <w:pPr>
              <w:widowControl/>
              <w:spacing w:before="100" w:beforeAutospacing="1" w:after="100" w:afterAutospacing="1" w:line="360" w:lineRule="auto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J. Math. Ana. &amp; Appl. （数学分析及其应用）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17FAD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BF874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7CE7E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57486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46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41AFD">
            <w:pPr>
              <w:widowControl/>
              <w:spacing w:before="100" w:beforeAutospacing="1" w:after="100" w:afterAutospacing="1" w:line="360" w:lineRule="auto"/>
              <w:ind w:firstLine="180" w:firstLineChars="10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 w:val="18"/>
                <w:szCs w:val="18"/>
              </w:rPr>
              <w:t>Int’l  J of Computer Vision （计算机视觉）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1B6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305F3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  <w:tr w14:paraId="42D9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00F9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47</w:t>
            </w:r>
          </w:p>
        </w:tc>
        <w:tc>
          <w:tcPr>
            <w:tcW w:w="4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44E90">
            <w:pPr>
              <w:widowControl/>
              <w:spacing w:before="100" w:beforeAutospacing="1" w:after="100" w:afterAutospacing="1" w:line="360" w:lineRule="auto"/>
              <w:ind w:firstLine="180" w:firstLineChars="100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Mathematical Aspect of Classical and Celestial Mechanics (Third Editon)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6B8AF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V.I. Arnold等，科学出版社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1A1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sz w:val="18"/>
                <w:szCs w:val="18"/>
              </w:rPr>
            </w:pPr>
          </w:p>
        </w:tc>
      </w:tr>
    </w:tbl>
    <w:p w14:paraId="1C797936">
      <w:pPr>
        <w:adjustRightInd w:val="0"/>
        <w:snapToGrid w:val="0"/>
        <w:spacing w:line="500" w:lineRule="exact"/>
        <w:jc w:val="left"/>
        <w:rPr>
          <w:rFonts w:ascii="仿宋_GB2312" w:eastAsia="仿宋_GB2312"/>
        </w:rPr>
      </w:pPr>
    </w:p>
    <w:p w14:paraId="24912EC9">
      <w:pPr>
        <w:snapToGrid w:val="0"/>
        <w:spacing w:line="360" w:lineRule="auto"/>
        <w:ind w:firstLine="4270" w:firstLineChars="1525"/>
        <w:rPr>
          <w:rFonts w:eastAsia="黑体"/>
          <w:bCs/>
          <w:color w:val="000000"/>
          <w:sz w:val="28"/>
          <w:szCs w:val="28"/>
        </w:rPr>
      </w:pPr>
    </w:p>
    <w:p w14:paraId="70BC8B0A">
      <w:pPr>
        <w:snapToGrid w:val="0"/>
        <w:spacing w:line="360" w:lineRule="auto"/>
        <w:ind w:firstLine="4270" w:firstLineChars="1525"/>
        <w:rPr>
          <w:rFonts w:eastAsia="楷体"/>
          <w:color w:val="000000"/>
          <w:sz w:val="28"/>
          <w:szCs w:val="28"/>
        </w:rPr>
      </w:pPr>
      <w:r>
        <w:rPr>
          <w:rFonts w:eastAsia="黑体"/>
          <w:bCs/>
          <w:color w:val="000000"/>
          <w:sz w:val="28"/>
          <w:szCs w:val="28"/>
        </w:rPr>
        <w:t>负责人</w:t>
      </w:r>
      <w:r>
        <w:rPr>
          <w:rFonts w:hint="eastAsia" w:eastAsia="黑体"/>
          <w:bCs/>
          <w:color w:val="000000"/>
          <w:sz w:val="28"/>
          <w:szCs w:val="28"/>
        </w:rPr>
        <w:t>：</w:t>
      </w:r>
    </w:p>
    <w:p w14:paraId="3C523F26">
      <w:pPr>
        <w:spacing w:line="360" w:lineRule="auto"/>
        <w:jc w:val="right"/>
        <w:rPr>
          <w:rFonts w:eastAsia="PMingLiU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修订</w:t>
      </w:r>
      <w:r>
        <w:rPr>
          <w:rFonts w:eastAsia="仿宋_GB2312"/>
          <w:color w:val="000000"/>
          <w:sz w:val="28"/>
          <w:szCs w:val="28"/>
          <w:lang w:eastAsia="zh-TW"/>
        </w:rPr>
        <w:t>日期：</w:t>
      </w:r>
      <w:r>
        <w:rPr>
          <w:rFonts w:eastAsia="仿宋_GB2312"/>
          <w:color w:val="000000"/>
          <w:sz w:val="28"/>
          <w:szCs w:val="28"/>
        </w:rPr>
        <w:t>　　</w:t>
      </w:r>
      <w:r>
        <w:rPr>
          <w:rFonts w:eastAsia="仿宋_GB2312"/>
          <w:color w:val="000000"/>
          <w:sz w:val="28"/>
          <w:szCs w:val="28"/>
          <w:lang w:eastAsia="zh-TW"/>
        </w:rPr>
        <w:t>年</w:t>
      </w:r>
      <w:r>
        <w:rPr>
          <w:rFonts w:eastAsia="仿宋_GB2312"/>
          <w:color w:val="000000"/>
          <w:sz w:val="28"/>
          <w:szCs w:val="28"/>
        </w:rPr>
        <w:t xml:space="preserve">    </w:t>
      </w:r>
      <w:r>
        <w:rPr>
          <w:rFonts w:eastAsia="仿宋_GB2312"/>
          <w:color w:val="000000"/>
          <w:sz w:val="28"/>
          <w:szCs w:val="28"/>
          <w:lang w:eastAsia="zh-TW"/>
        </w:rPr>
        <w:t>月</w:t>
      </w:r>
      <w:r>
        <w:rPr>
          <w:rFonts w:eastAsia="仿宋_GB2312"/>
          <w:color w:val="000000"/>
          <w:sz w:val="28"/>
          <w:szCs w:val="28"/>
        </w:rPr>
        <w:t xml:space="preserve"> </w:t>
      </w:r>
    </w:p>
    <w:sectPr>
      <w:footerReference r:id="rId3" w:type="default"/>
      <w:pgSz w:w="11906" w:h="16838"/>
      <w:pgMar w:top="1418" w:right="1418" w:bottom="1418" w:left="1418" w:header="85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7D1CA5-F44A-40ED-8975-C60483501A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C4503CF-754F-4DE0-96F5-0768CEF4034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85A6C9D-A557-41F9-BB26-E211194ECE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535AFF0-A5DC-41FC-BC9B-011B766F8F5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D1DE7FE5-16D9-4266-910F-8F9C554580A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BB11480-83D8-41E8-AC5E-44EFE05A32D3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7" w:fontKey="{E0848F5C-B67D-44F4-82B5-B74604F22E6D}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E5EF4">
    <w:pPr>
      <w:pStyle w:val="12"/>
      <w:framePr w:wrap="around"/>
      <w:ind w:firstLine="270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D2DA5"/>
    <w:multiLevelType w:val="singleLevel"/>
    <w:tmpl w:val="631D2DA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CBD726C"/>
    <w:multiLevelType w:val="singleLevel"/>
    <w:tmpl w:val="6CBD726C"/>
    <w:lvl w:ilvl="0" w:tentative="0">
      <w:start w:val="1"/>
      <w:numFmt w:val="chineseCounting"/>
      <w:suff w:val="nothing"/>
      <w:lvlText w:val="%1、"/>
      <w:lvlJc w:val="left"/>
      <w:pPr>
        <w:ind w:left="147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ZiZjgzODdlYmY2ZGJkZDc4NTNlN2Q4MTI5NzlhYjMifQ=="/>
  </w:docVars>
  <w:rsids>
    <w:rsidRoot w:val="006B3C32"/>
    <w:rsid w:val="000055D8"/>
    <w:rsid w:val="00006388"/>
    <w:rsid w:val="000128B1"/>
    <w:rsid w:val="0001305D"/>
    <w:rsid w:val="00033102"/>
    <w:rsid w:val="000403E3"/>
    <w:rsid w:val="000457AC"/>
    <w:rsid w:val="00046695"/>
    <w:rsid w:val="00047884"/>
    <w:rsid w:val="0005225B"/>
    <w:rsid w:val="000542B7"/>
    <w:rsid w:val="000603B7"/>
    <w:rsid w:val="000604DB"/>
    <w:rsid w:val="00064D2F"/>
    <w:rsid w:val="000766EB"/>
    <w:rsid w:val="00076CCE"/>
    <w:rsid w:val="00083487"/>
    <w:rsid w:val="00084478"/>
    <w:rsid w:val="0009099F"/>
    <w:rsid w:val="000A28ED"/>
    <w:rsid w:val="000C0DF0"/>
    <w:rsid w:val="000C502F"/>
    <w:rsid w:val="000E521D"/>
    <w:rsid w:val="000E59E6"/>
    <w:rsid w:val="000E7CA7"/>
    <w:rsid w:val="00101D0F"/>
    <w:rsid w:val="00106D08"/>
    <w:rsid w:val="001078F2"/>
    <w:rsid w:val="00110C78"/>
    <w:rsid w:val="00115B7B"/>
    <w:rsid w:val="00131C5E"/>
    <w:rsid w:val="00145102"/>
    <w:rsid w:val="00147EB2"/>
    <w:rsid w:val="001604EC"/>
    <w:rsid w:val="00171ABF"/>
    <w:rsid w:val="00194A79"/>
    <w:rsid w:val="00194AC5"/>
    <w:rsid w:val="00195714"/>
    <w:rsid w:val="00196731"/>
    <w:rsid w:val="00196CCC"/>
    <w:rsid w:val="00197FB1"/>
    <w:rsid w:val="001A5B63"/>
    <w:rsid w:val="001A736C"/>
    <w:rsid w:val="001B269D"/>
    <w:rsid w:val="001B2B37"/>
    <w:rsid w:val="001B4B68"/>
    <w:rsid w:val="001B6752"/>
    <w:rsid w:val="001C0C2C"/>
    <w:rsid w:val="001C3982"/>
    <w:rsid w:val="001C46AB"/>
    <w:rsid w:val="001D7C5C"/>
    <w:rsid w:val="001E3DC2"/>
    <w:rsid w:val="001E423A"/>
    <w:rsid w:val="001E4523"/>
    <w:rsid w:val="001E4F93"/>
    <w:rsid w:val="001E5943"/>
    <w:rsid w:val="001E783A"/>
    <w:rsid w:val="001F35E9"/>
    <w:rsid w:val="001F361A"/>
    <w:rsid w:val="00206A75"/>
    <w:rsid w:val="00232B79"/>
    <w:rsid w:val="00232C9F"/>
    <w:rsid w:val="00235CD3"/>
    <w:rsid w:val="002370CC"/>
    <w:rsid w:val="00245673"/>
    <w:rsid w:val="002459C4"/>
    <w:rsid w:val="00251E0E"/>
    <w:rsid w:val="00261E5C"/>
    <w:rsid w:val="00262ADD"/>
    <w:rsid w:val="002651F1"/>
    <w:rsid w:val="0029640E"/>
    <w:rsid w:val="002A4B1D"/>
    <w:rsid w:val="002B0C73"/>
    <w:rsid w:val="002C3649"/>
    <w:rsid w:val="002C4034"/>
    <w:rsid w:val="002D0A3D"/>
    <w:rsid w:val="002D35CB"/>
    <w:rsid w:val="002D3AFB"/>
    <w:rsid w:val="002D6540"/>
    <w:rsid w:val="002D68BA"/>
    <w:rsid w:val="002E0028"/>
    <w:rsid w:val="002F0AD8"/>
    <w:rsid w:val="002F267E"/>
    <w:rsid w:val="002F50EA"/>
    <w:rsid w:val="003026FB"/>
    <w:rsid w:val="00306733"/>
    <w:rsid w:val="003102D9"/>
    <w:rsid w:val="0032144A"/>
    <w:rsid w:val="003229BE"/>
    <w:rsid w:val="00332329"/>
    <w:rsid w:val="00343CDF"/>
    <w:rsid w:val="003450FD"/>
    <w:rsid w:val="00346F04"/>
    <w:rsid w:val="003635BA"/>
    <w:rsid w:val="00363B39"/>
    <w:rsid w:val="003773FA"/>
    <w:rsid w:val="003775EE"/>
    <w:rsid w:val="0039041D"/>
    <w:rsid w:val="003936DB"/>
    <w:rsid w:val="0039436A"/>
    <w:rsid w:val="0039768A"/>
    <w:rsid w:val="003A76CD"/>
    <w:rsid w:val="003B26C8"/>
    <w:rsid w:val="003C5713"/>
    <w:rsid w:val="003C755C"/>
    <w:rsid w:val="003D0729"/>
    <w:rsid w:val="003D2A0A"/>
    <w:rsid w:val="003D3B6F"/>
    <w:rsid w:val="003D72AF"/>
    <w:rsid w:val="003E3CBD"/>
    <w:rsid w:val="003E55F8"/>
    <w:rsid w:val="003F15CF"/>
    <w:rsid w:val="00407589"/>
    <w:rsid w:val="00412EFD"/>
    <w:rsid w:val="004170EF"/>
    <w:rsid w:val="00422520"/>
    <w:rsid w:val="00426260"/>
    <w:rsid w:val="00427CDB"/>
    <w:rsid w:val="00432C2E"/>
    <w:rsid w:val="00446281"/>
    <w:rsid w:val="00455405"/>
    <w:rsid w:val="00463F5C"/>
    <w:rsid w:val="00470D19"/>
    <w:rsid w:val="00471AED"/>
    <w:rsid w:val="00475192"/>
    <w:rsid w:val="00483DD8"/>
    <w:rsid w:val="00484A8A"/>
    <w:rsid w:val="0048668D"/>
    <w:rsid w:val="004867DC"/>
    <w:rsid w:val="004A0A3C"/>
    <w:rsid w:val="004A6E27"/>
    <w:rsid w:val="004B26DE"/>
    <w:rsid w:val="004C08F1"/>
    <w:rsid w:val="004C39A3"/>
    <w:rsid w:val="004C3B17"/>
    <w:rsid w:val="004E3288"/>
    <w:rsid w:val="004E4778"/>
    <w:rsid w:val="004F4B54"/>
    <w:rsid w:val="00505B79"/>
    <w:rsid w:val="00505F4E"/>
    <w:rsid w:val="00517094"/>
    <w:rsid w:val="00520646"/>
    <w:rsid w:val="0052091E"/>
    <w:rsid w:val="00521814"/>
    <w:rsid w:val="00534E18"/>
    <w:rsid w:val="005406F3"/>
    <w:rsid w:val="00542374"/>
    <w:rsid w:val="00553052"/>
    <w:rsid w:val="0055491C"/>
    <w:rsid w:val="00581140"/>
    <w:rsid w:val="0058192C"/>
    <w:rsid w:val="00582BB3"/>
    <w:rsid w:val="005857EA"/>
    <w:rsid w:val="0058623A"/>
    <w:rsid w:val="005863DE"/>
    <w:rsid w:val="00586404"/>
    <w:rsid w:val="00594E8D"/>
    <w:rsid w:val="005975FA"/>
    <w:rsid w:val="005A0D48"/>
    <w:rsid w:val="005A455E"/>
    <w:rsid w:val="005D37F7"/>
    <w:rsid w:val="005D3D17"/>
    <w:rsid w:val="005D6676"/>
    <w:rsid w:val="005D677B"/>
    <w:rsid w:val="005D705F"/>
    <w:rsid w:val="005F2A93"/>
    <w:rsid w:val="005F5874"/>
    <w:rsid w:val="006003DB"/>
    <w:rsid w:val="00605B25"/>
    <w:rsid w:val="006064F8"/>
    <w:rsid w:val="00607384"/>
    <w:rsid w:val="00607F7F"/>
    <w:rsid w:val="00610510"/>
    <w:rsid w:val="006165E6"/>
    <w:rsid w:val="006204BC"/>
    <w:rsid w:val="00622182"/>
    <w:rsid w:val="0062279C"/>
    <w:rsid w:val="00631444"/>
    <w:rsid w:val="00637F19"/>
    <w:rsid w:val="006428C0"/>
    <w:rsid w:val="00654FBA"/>
    <w:rsid w:val="00655B3B"/>
    <w:rsid w:val="006608FE"/>
    <w:rsid w:val="00662408"/>
    <w:rsid w:val="00671C61"/>
    <w:rsid w:val="006800C6"/>
    <w:rsid w:val="00683357"/>
    <w:rsid w:val="00683B11"/>
    <w:rsid w:val="006968DB"/>
    <w:rsid w:val="00696F0E"/>
    <w:rsid w:val="006A2440"/>
    <w:rsid w:val="006A44BE"/>
    <w:rsid w:val="006A5A01"/>
    <w:rsid w:val="006A5FE4"/>
    <w:rsid w:val="006A7602"/>
    <w:rsid w:val="006B0F68"/>
    <w:rsid w:val="006B3C32"/>
    <w:rsid w:val="006C1648"/>
    <w:rsid w:val="006D25CF"/>
    <w:rsid w:val="006D5EFB"/>
    <w:rsid w:val="006E5F51"/>
    <w:rsid w:val="006E6388"/>
    <w:rsid w:val="006F0026"/>
    <w:rsid w:val="00700992"/>
    <w:rsid w:val="007018E2"/>
    <w:rsid w:val="00702F57"/>
    <w:rsid w:val="00703CD4"/>
    <w:rsid w:val="00715346"/>
    <w:rsid w:val="0071558A"/>
    <w:rsid w:val="00732AC5"/>
    <w:rsid w:val="00741083"/>
    <w:rsid w:val="007428DF"/>
    <w:rsid w:val="00743D63"/>
    <w:rsid w:val="00752536"/>
    <w:rsid w:val="00752F93"/>
    <w:rsid w:val="0076548F"/>
    <w:rsid w:val="0076727E"/>
    <w:rsid w:val="00774080"/>
    <w:rsid w:val="0078189D"/>
    <w:rsid w:val="00782126"/>
    <w:rsid w:val="00782B3D"/>
    <w:rsid w:val="0078325F"/>
    <w:rsid w:val="00784B77"/>
    <w:rsid w:val="00793C19"/>
    <w:rsid w:val="007A253C"/>
    <w:rsid w:val="007A7985"/>
    <w:rsid w:val="007B350C"/>
    <w:rsid w:val="007B52E2"/>
    <w:rsid w:val="007C20B2"/>
    <w:rsid w:val="007C5C5C"/>
    <w:rsid w:val="007C7806"/>
    <w:rsid w:val="007D4D78"/>
    <w:rsid w:val="007E4DA7"/>
    <w:rsid w:val="007E4DE9"/>
    <w:rsid w:val="007F1039"/>
    <w:rsid w:val="007F1656"/>
    <w:rsid w:val="007F6557"/>
    <w:rsid w:val="007F6597"/>
    <w:rsid w:val="00800A63"/>
    <w:rsid w:val="008026F5"/>
    <w:rsid w:val="00807968"/>
    <w:rsid w:val="00811B36"/>
    <w:rsid w:val="00813B48"/>
    <w:rsid w:val="008307C5"/>
    <w:rsid w:val="008321A9"/>
    <w:rsid w:val="00836DDD"/>
    <w:rsid w:val="008432EB"/>
    <w:rsid w:val="00846C21"/>
    <w:rsid w:val="00853845"/>
    <w:rsid w:val="00857D9F"/>
    <w:rsid w:val="008614F5"/>
    <w:rsid w:val="00863D75"/>
    <w:rsid w:val="0086684F"/>
    <w:rsid w:val="008676B8"/>
    <w:rsid w:val="008751D1"/>
    <w:rsid w:val="00877818"/>
    <w:rsid w:val="008878B5"/>
    <w:rsid w:val="00892CB8"/>
    <w:rsid w:val="00893B71"/>
    <w:rsid w:val="008A6F6E"/>
    <w:rsid w:val="008C1BF7"/>
    <w:rsid w:val="008D28CF"/>
    <w:rsid w:val="008D332D"/>
    <w:rsid w:val="008D5041"/>
    <w:rsid w:val="008D5C85"/>
    <w:rsid w:val="008D5E11"/>
    <w:rsid w:val="008D6BA9"/>
    <w:rsid w:val="008E3E5E"/>
    <w:rsid w:val="008E6D19"/>
    <w:rsid w:val="008F1952"/>
    <w:rsid w:val="008F4BC3"/>
    <w:rsid w:val="008F70A6"/>
    <w:rsid w:val="00904D53"/>
    <w:rsid w:val="00912D49"/>
    <w:rsid w:val="00940EEC"/>
    <w:rsid w:val="00940FA5"/>
    <w:rsid w:val="00960107"/>
    <w:rsid w:val="00961D43"/>
    <w:rsid w:val="00980FCB"/>
    <w:rsid w:val="0099207B"/>
    <w:rsid w:val="00993355"/>
    <w:rsid w:val="00996C22"/>
    <w:rsid w:val="009A1705"/>
    <w:rsid w:val="009A2BF6"/>
    <w:rsid w:val="009B09CF"/>
    <w:rsid w:val="009B0FAA"/>
    <w:rsid w:val="009B5F57"/>
    <w:rsid w:val="009B7D62"/>
    <w:rsid w:val="009C6D96"/>
    <w:rsid w:val="009E0949"/>
    <w:rsid w:val="009E0D4F"/>
    <w:rsid w:val="009E2715"/>
    <w:rsid w:val="009E7FAE"/>
    <w:rsid w:val="009F47DE"/>
    <w:rsid w:val="00A04579"/>
    <w:rsid w:val="00A1192E"/>
    <w:rsid w:val="00A17EA8"/>
    <w:rsid w:val="00A256BF"/>
    <w:rsid w:val="00A3064D"/>
    <w:rsid w:val="00A319DE"/>
    <w:rsid w:val="00A41194"/>
    <w:rsid w:val="00A525F2"/>
    <w:rsid w:val="00A55F25"/>
    <w:rsid w:val="00A76E4B"/>
    <w:rsid w:val="00A84744"/>
    <w:rsid w:val="00A92F8A"/>
    <w:rsid w:val="00A9481B"/>
    <w:rsid w:val="00AA16BA"/>
    <w:rsid w:val="00AB155B"/>
    <w:rsid w:val="00AB2D8B"/>
    <w:rsid w:val="00AD52C2"/>
    <w:rsid w:val="00AD6251"/>
    <w:rsid w:val="00AE12D6"/>
    <w:rsid w:val="00AE41D8"/>
    <w:rsid w:val="00AE5B6F"/>
    <w:rsid w:val="00AF1A00"/>
    <w:rsid w:val="00AF6A36"/>
    <w:rsid w:val="00B20DCE"/>
    <w:rsid w:val="00B23375"/>
    <w:rsid w:val="00B37383"/>
    <w:rsid w:val="00B644CC"/>
    <w:rsid w:val="00B657C7"/>
    <w:rsid w:val="00B827E1"/>
    <w:rsid w:val="00B82DB9"/>
    <w:rsid w:val="00B85213"/>
    <w:rsid w:val="00BB0416"/>
    <w:rsid w:val="00BB3331"/>
    <w:rsid w:val="00BB3A6D"/>
    <w:rsid w:val="00BB3EAA"/>
    <w:rsid w:val="00BB5001"/>
    <w:rsid w:val="00BC1632"/>
    <w:rsid w:val="00BC7ED6"/>
    <w:rsid w:val="00BD1F4B"/>
    <w:rsid w:val="00BE3759"/>
    <w:rsid w:val="00BE4C36"/>
    <w:rsid w:val="00BE5C9E"/>
    <w:rsid w:val="00BE7B39"/>
    <w:rsid w:val="00BE7E45"/>
    <w:rsid w:val="00BF33AF"/>
    <w:rsid w:val="00BF5DFC"/>
    <w:rsid w:val="00BF70E0"/>
    <w:rsid w:val="00C01FB2"/>
    <w:rsid w:val="00C02B5B"/>
    <w:rsid w:val="00C0566E"/>
    <w:rsid w:val="00C072D8"/>
    <w:rsid w:val="00C10B37"/>
    <w:rsid w:val="00C153B0"/>
    <w:rsid w:val="00C249DA"/>
    <w:rsid w:val="00C264A3"/>
    <w:rsid w:val="00C33F48"/>
    <w:rsid w:val="00C34AD3"/>
    <w:rsid w:val="00C362BF"/>
    <w:rsid w:val="00C363F0"/>
    <w:rsid w:val="00C416FF"/>
    <w:rsid w:val="00C4179F"/>
    <w:rsid w:val="00C43D5A"/>
    <w:rsid w:val="00C43DCD"/>
    <w:rsid w:val="00C61D4B"/>
    <w:rsid w:val="00C64D41"/>
    <w:rsid w:val="00C65F75"/>
    <w:rsid w:val="00C67190"/>
    <w:rsid w:val="00C67BD8"/>
    <w:rsid w:val="00C858F9"/>
    <w:rsid w:val="00C85A01"/>
    <w:rsid w:val="00C870BD"/>
    <w:rsid w:val="00C91399"/>
    <w:rsid w:val="00C9218C"/>
    <w:rsid w:val="00C94518"/>
    <w:rsid w:val="00C96103"/>
    <w:rsid w:val="00C97625"/>
    <w:rsid w:val="00CC1603"/>
    <w:rsid w:val="00CC19C4"/>
    <w:rsid w:val="00CC678D"/>
    <w:rsid w:val="00CD773E"/>
    <w:rsid w:val="00CE09D2"/>
    <w:rsid w:val="00CE3099"/>
    <w:rsid w:val="00CE3AA7"/>
    <w:rsid w:val="00CE569E"/>
    <w:rsid w:val="00CF055D"/>
    <w:rsid w:val="00CF45D1"/>
    <w:rsid w:val="00CF5581"/>
    <w:rsid w:val="00D06415"/>
    <w:rsid w:val="00D13BE0"/>
    <w:rsid w:val="00D172D3"/>
    <w:rsid w:val="00D23131"/>
    <w:rsid w:val="00D2387D"/>
    <w:rsid w:val="00D31C15"/>
    <w:rsid w:val="00D324CB"/>
    <w:rsid w:val="00D34A93"/>
    <w:rsid w:val="00D36075"/>
    <w:rsid w:val="00D40048"/>
    <w:rsid w:val="00D43432"/>
    <w:rsid w:val="00D44BAC"/>
    <w:rsid w:val="00D623C4"/>
    <w:rsid w:val="00D65A51"/>
    <w:rsid w:val="00D7239E"/>
    <w:rsid w:val="00D72FED"/>
    <w:rsid w:val="00D74442"/>
    <w:rsid w:val="00D74AAF"/>
    <w:rsid w:val="00D811D3"/>
    <w:rsid w:val="00D9115A"/>
    <w:rsid w:val="00D96032"/>
    <w:rsid w:val="00DA429F"/>
    <w:rsid w:val="00DA4B3E"/>
    <w:rsid w:val="00DA56F7"/>
    <w:rsid w:val="00DA70BD"/>
    <w:rsid w:val="00DB0245"/>
    <w:rsid w:val="00DB0A46"/>
    <w:rsid w:val="00DB4164"/>
    <w:rsid w:val="00DB6FAA"/>
    <w:rsid w:val="00DB7EEC"/>
    <w:rsid w:val="00DC4F01"/>
    <w:rsid w:val="00DE2824"/>
    <w:rsid w:val="00DF06FD"/>
    <w:rsid w:val="00DF5556"/>
    <w:rsid w:val="00DF592A"/>
    <w:rsid w:val="00DF63CE"/>
    <w:rsid w:val="00DF68E5"/>
    <w:rsid w:val="00E00312"/>
    <w:rsid w:val="00E0262C"/>
    <w:rsid w:val="00E03EA2"/>
    <w:rsid w:val="00E044E1"/>
    <w:rsid w:val="00E04D5A"/>
    <w:rsid w:val="00E05000"/>
    <w:rsid w:val="00E17765"/>
    <w:rsid w:val="00E21724"/>
    <w:rsid w:val="00E3502F"/>
    <w:rsid w:val="00E41452"/>
    <w:rsid w:val="00E41A7F"/>
    <w:rsid w:val="00E43F4B"/>
    <w:rsid w:val="00E55BA6"/>
    <w:rsid w:val="00E57BE4"/>
    <w:rsid w:val="00E60C92"/>
    <w:rsid w:val="00E65540"/>
    <w:rsid w:val="00E65BDE"/>
    <w:rsid w:val="00E701D1"/>
    <w:rsid w:val="00E708ED"/>
    <w:rsid w:val="00E71C21"/>
    <w:rsid w:val="00E71F76"/>
    <w:rsid w:val="00E745CE"/>
    <w:rsid w:val="00E77051"/>
    <w:rsid w:val="00E8015C"/>
    <w:rsid w:val="00EA65F5"/>
    <w:rsid w:val="00EA6C33"/>
    <w:rsid w:val="00EC4E10"/>
    <w:rsid w:val="00EC6190"/>
    <w:rsid w:val="00EC7BEF"/>
    <w:rsid w:val="00EE1A28"/>
    <w:rsid w:val="00EE391E"/>
    <w:rsid w:val="00EF1858"/>
    <w:rsid w:val="00F00412"/>
    <w:rsid w:val="00F02CC1"/>
    <w:rsid w:val="00F07B63"/>
    <w:rsid w:val="00F1099B"/>
    <w:rsid w:val="00F13FC5"/>
    <w:rsid w:val="00F14FA8"/>
    <w:rsid w:val="00F17766"/>
    <w:rsid w:val="00F25F6A"/>
    <w:rsid w:val="00F302AF"/>
    <w:rsid w:val="00F31CD6"/>
    <w:rsid w:val="00F50B8B"/>
    <w:rsid w:val="00F525E5"/>
    <w:rsid w:val="00F57876"/>
    <w:rsid w:val="00F60D4A"/>
    <w:rsid w:val="00F66D16"/>
    <w:rsid w:val="00F741BC"/>
    <w:rsid w:val="00F74B50"/>
    <w:rsid w:val="00F75F85"/>
    <w:rsid w:val="00F76354"/>
    <w:rsid w:val="00F82019"/>
    <w:rsid w:val="00F8369C"/>
    <w:rsid w:val="00F95111"/>
    <w:rsid w:val="00FA111D"/>
    <w:rsid w:val="00FA5087"/>
    <w:rsid w:val="00FA5ADF"/>
    <w:rsid w:val="00FB5151"/>
    <w:rsid w:val="00FB570F"/>
    <w:rsid w:val="00FB6ECA"/>
    <w:rsid w:val="00FB7522"/>
    <w:rsid w:val="00FC0EE0"/>
    <w:rsid w:val="00FC6E49"/>
    <w:rsid w:val="00FD58D9"/>
    <w:rsid w:val="00FE656F"/>
    <w:rsid w:val="00FF210E"/>
    <w:rsid w:val="00FF2675"/>
    <w:rsid w:val="00FF4530"/>
    <w:rsid w:val="0469532E"/>
    <w:rsid w:val="0696055B"/>
    <w:rsid w:val="0ABF6E54"/>
    <w:rsid w:val="15881922"/>
    <w:rsid w:val="201E1B0B"/>
    <w:rsid w:val="244E0BDF"/>
    <w:rsid w:val="28F337C0"/>
    <w:rsid w:val="29FE4D92"/>
    <w:rsid w:val="2E1A3B13"/>
    <w:rsid w:val="377E7D50"/>
    <w:rsid w:val="37B94D0E"/>
    <w:rsid w:val="3B916629"/>
    <w:rsid w:val="40864103"/>
    <w:rsid w:val="46341002"/>
    <w:rsid w:val="499D6929"/>
    <w:rsid w:val="4E2400F1"/>
    <w:rsid w:val="57666DD7"/>
    <w:rsid w:val="57A532D9"/>
    <w:rsid w:val="58BB05B4"/>
    <w:rsid w:val="63473C40"/>
    <w:rsid w:val="64414A95"/>
    <w:rsid w:val="65AE1D42"/>
    <w:rsid w:val="73AC33F5"/>
    <w:rsid w:val="743C692B"/>
    <w:rsid w:val="76102E48"/>
    <w:rsid w:val="7745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4">
    <w:name w:val="heading 3"/>
    <w:basedOn w:val="1"/>
    <w:next w:val="1"/>
    <w:link w:val="26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32"/>
    <w:autoRedefine/>
    <w:semiHidden/>
    <w:qFormat/>
    <w:uiPriority w:val="99"/>
    <w:pPr>
      <w:shd w:val="clear" w:color="auto" w:fill="000080"/>
    </w:pPr>
  </w:style>
  <w:style w:type="paragraph" w:styleId="6">
    <w:name w:val="annotation text"/>
    <w:basedOn w:val="1"/>
    <w:link w:val="44"/>
    <w:autoRedefine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7">
    <w:name w:val="Body Text Indent"/>
    <w:basedOn w:val="1"/>
    <w:link w:val="31"/>
    <w:qFormat/>
    <w:uiPriority w:val="0"/>
    <w:pPr>
      <w:spacing w:after="120"/>
      <w:ind w:left="420" w:leftChars="200"/>
    </w:pPr>
    <w:rPr>
      <w:lang w:val="zh-CN"/>
    </w:rPr>
  </w:style>
  <w:style w:type="paragraph" w:styleId="8">
    <w:name w:val="Plain Text"/>
    <w:basedOn w:val="1"/>
    <w:link w:val="36"/>
    <w:unhideWhenUsed/>
    <w:qFormat/>
    <w:uiPriority w:val="0"/>
    <w:rPr>
      <w:rFonts w:ascii="宋体" w:hAnsi="Courier New" w:cs="Courier New"/>
      <w:szCs w:val="21"/>
    </w:rPr>
  </w:style>
  <w:style w:type="paragraph" w:styleId="9">
    <w:name w:val="Date"/>
    <w:basedOn w:val="1"/>
    <w:next w:val="1"/>
    <w:link w:val="28"/>
    <w:autoRedefine/>
    <w:qFormat/>
    <w:uiPriority w:val="99"/>
    <w:rPr>
      <w:rFonts w:ascii="宋体"/>
      <w:sz w:val="24"/>
    </w:rPr>
  </w:style>
  <w:style w:type="paragraph" w:styleId="10">
    <w:name w:val="Body Text Indent 2"/>
    <w:basedOn w:val="1"/>
    <w:link w:val="38"/>
    <w:autoRedefine/>
    <w:qFormat/>
    <w:uiPriority w:val="0"/>
    <w:pPr>
      <w:spacing w:after="120" w:line="480" w:lineRule="auto"/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11">
    <w:name w:val="Balloon Text"/>
    <w:basedOn w:val="1"/>
    <w:link w:val="35"/>
    <w:autoRedefine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29"/>
    <w:autoRedefine/>
    <w:qFormat/>
    <w:uiPriority w:val="99"/>
    <w:pPr>
      <w:framePr w:wrap="around" w:vAnchor="text" w:hAnchor="margin" w:xAlign="right" w:y="1"/>
      <w:tabs>
        <w:tab w:val="center" w:pos="4153"/>
        <w:tab w:val="right" w:pos="8306"/>
      </w:tabs>
      <w:snapToGrid w:val="0"/>
      <w:ind w:firstLine="4200" w:firstLineChars="1500"/>
    </w:pPr>
    <w:rPr>
      <w:sz w:val="18"/>
    </w:rPr>
  </w:style>
  <w:style w:type="paragraph" w:styleId="13">
    <w:name w:val="header"/>
    <w:basedOn w:val="1"/>
    <w:link w:val="3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pPr>
      <w:spacing w:line="360" w:lineRule="auto"/>
    </w:pPr>
    <w:rPr>
      <w:rFonts w:ascii="Calibri" w:hAnsi="Calibri"/>
      <w:sz w:val="24"/>
      <w:szCs w:val="22"/>
    </w:rPr>
  </w:style>
  <w:style w:type="paragraph" w:styleId="15">
    <w:name w:val="Body Text Indent 3"/>
    <w:basedOn w:val="1"/>
    <w:link w:val="40"/>
    <w:autoRedefine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  <w:sz w:val="16"/>
      <w:szCs w:val="16"/>
    </w:rPr>
  </w:style>
  <w:style w:type="paragraph" w:styleId="16">
    <w:name w:val="toc 2"/>
    <w:basedOn w:val="1"/>
    <w:next w:val="1"/>
    <w:autoRedefine/>
    <w:unhideWhenUsed/>
    <w:qFormat/>
    <w:uiPriority w:val="39"/>
    <w:pPr>
      <w:spacing w:line="360" w:lineRule="auto"/>
      <w:ind w:left="420" w:leftChars="200"/>
    </w:pPr>
    <w:rPr>
      <w:rFonts w:ascii="Calibri" w:hAnsi="Calibri"/>
      <w:sz w:val="24"/>
      <w:szCs w:val="22"/>
    </w:rPr>
  </w:style>
  <w:style w:type="paragraph" w:styleId="17">
    <w:name w:val="annotation subject"/>
    <w:basedOn w:val="6"/>
    <w:next w:val="6"/>
    <w:link w:val="45"/>
    <w:autoRedefine/>
    <w:unhideWhenUsed/>
    <w:qFormat/>
    <w:uiPriority w:val="99"/>
    <w:rPr>
      <w:b/>
      <w:bCs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autoRedefine/>
    <w:qFormat/>
    <w:uiPriority w:val="0"/>
  </w:style>
  <w:style w:type="character" w:styleId="22">
    <w:name w:val="Hyperlink"/>
    <w:basedOn w:val="20"/>
    <w:autoRedefine/>
    <w:unhideWhenUsed/>
    <w:qFormat/>
    <w:uiPriority w:val="99"/>
    <w:rPr>
      <w:color w:val="0000FF"/>
      <w:u w:val="single"/>
    </w:rPr>
  </w:style>
  <w:style w:type="character" w:styleId="23">
    <w:name w:val="annotation reference"/>
    <w:basedOn w:val="20"/>
    <w:autoRedefine/>
    <w:unhideWhenUsed/>
    <w:qFormat/>
    <w:uiPriority w:val="99"/>
    <w:rPr>
      <w:sz w:val="21"/>
      <w:szCs w:val="21"/>
    </w:rPr>
  </w:style>
  <w:style w:type="character" w:customStyle="1" w:styleId="24">
    <w:name w:val="标题 1 字符"/>
    <w:basedOn w:val="20"/>
    <w:link w:val="2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basedOn w:val="20"/>
    <w:link w:val="3"/>
    <w:autoRedefine/>
    <w:qFormat/>
    <w:uiPriority w:val="9"/>
    <w:rPr>
      <w:rFonts w:ascii="Cambria" w:hAnsi="Cambria" w:eastAsia="宋体" w:cs="Times New Roman"/>
      <w:b/>
      <w:bCs/>
      <w:sz w:val="36"/>
      <w:szCs w:val="32"/>
    </w:rPr>
  </w:style>
  <w:style w:type="character" w:customStyle="1" w:styleId="26">
    <w:name w:val="标题 3 字符"/>
    <w:basedOn w:val="20"/>
    <w:link w:val="4"/>
    <w:autoRedefine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27">
    <w:name w:val="样式 标题一 副标题 + 居中"/>
    <w:basedOn w:val="1"/>
    <w:autoRedefine/>
    <w:qFormat/>
    <w:uiPriority w:val="0"/>
    <w:pPr>
      <w:tabs>
        <w:tab w:val="left" w:pos="720"/>
        <w:tab w:val="left" w:pos="7740"/>
      </w:tabs>
      <w:spacing w:after="240" w:line="240" w:lineRule="atLeast"/>
      <w:ind w:left="357" w:firstLine="150" w:firstLineChars="150"/>
      <w:jc w:val="left"/>
    </w:pPr>
    <w:rPr>
      <w:rFonts w:ascii="宋体" w:eastAsia="黑体"/>
      <w:kern w:val="0"/>
      <w:sz w:val="44"/>
    </w:rPr>
  </w:style>
  <w:style w:type="character" w:customStyle="1" w:styleId="28">
    <w:name w:val="日期 字符"/>
    <w:basedOn w:val="20"/>
    <w:link w:val="9"/>
    <w:autoRedefine/>
    <w:qFormat/>
    <w:uiPriority w:val="99"/>
    <w:rPr>
      <w:rFonts w:ascii="宋体" w:hAnsi="Times New Roman" w:eastAsia="宋体" w:cs="Times New Roman"/>
      <w:sz w:val="24"/>
      <w:szCs w:val="20"/>
    </w:rPr>
  </w:style>
  <w:style w:type="character" w:customStyle="1" w:styleId="29">
    <w:name w:val="页脚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</w:rPr>
  </w:style>
  <w:style w:type="paragraph" w:customStyle="1" w:styleId="30">
    <w:name w:val="1"/>
    <w:basedOn w:val="1"/>
    <w:next w:val="7"/>
    <w:autoRedefine/>
    <w:qFormat/>
    <w:uiPriority w:val="0"/>
    <w:pPr>
      <w:snapToGrid w:val="0"/>
      <w:spacing w:line="560" w:lineRule="atLeast"/>
      <w:ind w:firstLine="630"/>
    </w:pPr>
    <w:rPr>
      <w:sz w:val="31"/>
    </w:rPr>
  </w:style>
  <w:style w:type="character" w:customStyle="1" w:styleId="31">
    <w:name w:val="正文文本缩进 字符"/>
    <w:basedOn w:val="20"/>
    <w:link w:val="7"/>
    <w:autoRedefine/>
    <w:qFormat/>
    <w:uiPriority w:val="0"/>
    <w:rPr>
      <w:rFonts w:ascii="Times New Roman" w:hAnsi="Times New Roman" w:eastAsia="宋体" w:cs="Times New Roman"/>
      <w:szCs w:val="20"/>
      <w:lang w:val="zh-CN" w:eastAsia="zh-CN"/>
    </w:rPr>
  </w:style>
  <w:style w:type="character" w:customStyle="1" w:styleId="32">
    <w:name w:val="文档结构图 字符"/>
    <w:basedOn w:val="20"/>
    <w:link w:val="5"/>
    <w:autoRedefine/>
    <w:semiHidden/>
    <w:qFormat/>
    <w:uiPriority w:val="99"/>
    <w:rPr>
      <w:rFonts w:ascii="Times New Roman" w:hAnsi="Times New Roman" w:eastAsia="宋体" w:cs="Times New Roman"/>
      <w:szCs w:val="20"/>
      <w:shd w:val="clear" w:color="auto" w:fill="000080"/>
    </w:rPr>
  </w:style>
  <w:style w:type="character" w:customStyle="1" w:styleId="33">
    <w:name w:val="Char"/>
    <w:autoRedefine/>
    <w:qFormat/>
    <w:uiPriority w:val="0"/>
    <w:rPr>
      <w:rFonts w:eastAsia="宋体"/>
      <w:kern w:val="2"/>
      <w:sz w:val="31"/>
      <w:lang w:val="en-US" w:eastAsia="zh-CN" w:bidi="ar-SA"/>
    </w:rPr>
  </w:style>
  <w:style w:type="character" w:customStyle="1" w:styleId="34">
    <w:name w:val="页眉 字符"/>
    <w:basedOn w:val="20"/>
    <w:link w:val="1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批注框文本 字符"/>
    <w:basedOn w:val="20"/>
    <w:link w:val="11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6">
    <w:name w:val="纯文本 字符"/>
    <w:basedOn w:val="20"/>
    <w:link w:val="8"/>
    <w:autoRedefine/>
    <w:qFormat/>
    <w:uiPriority w:val="0"/>
    <w:rPr>
      <w:rFonts w:ascii="宋体" w:hAnsi="Courier New" w:eastAsia="宋体" w:cs="Courier New"/>
      <w:szCs w:val="21"/>
    </w:rPr>
  </w:style>
  <w:style w:type="paragraph" w:styleId="37">
    <w:name w:val="List Paragraph"/>
    <w:basedOn w:val="1"/>
    <w:autoRedefine/>
    <w:qFormat/>
    <w:uiPriority w:val="34"/>
    <w:pPr>
      <w:spacing w:line="360" w:lineRule="auto"/>
      <w:ind w:firstLine="420" w:firstLineChars="200"/>
    </w:pPr>
    <w:rPr>
      <w:rFonts w:ascii="Calibri" w:hAnsi="Calibri"/>
      <w:sz w:val="24"/>
      <w:szCs w:val="22"/>
    </w:rPr>
  </w:style>
  <w:style w:type="character" w:customStyle="1" w:styleId="38">
    <w:name w:val="正文文本缩进 2 字符"/>
    <w:link w:val="10"/>
    <w:autoRedefine/>
    <w:qFormat/>
    <w:uiPriority w:val="0"/>
  </w:style>
  <w:style w:type="character" w:customStyle="1" w:styleId="39">
    <w:name w:val="正文文本缩进 2 Char1"/>
    <w:basedOn w:val="20"/>
    <w:autoRedefine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40">
    <w:name w:val="正文文本缩进 3 字符"/>
    <w:link w:val="15"/>
    <w:autoRedefine/>
    <w:qFormat/>
    <w:locked/>
    <w:uiPriority w:val="0"/>
    <w:rPr>
      <w:sz w:val="16"/>
      <w:szCs w:val="16"/>
    </w:rPr>
  </w:style>
  <w:style w:type="character" w:customStyle="1" w:styleId="41">
    <w:name w:val="正文文本缩进 3 Char1"/>
    <w:basedOn w:val="20"/>
    <w:autoRedefine/>
    <w:qFormat/>
    <w:uiPriority w:val="99"/>
    <w:rPr>
      <w:rFonts w:ascii="Times New Roman" w:hAnsi="Times New Roman" w:eastAsia="宋体" w:cs="Times New Roman"/>
      <w:sz w:val="16"/>
      <w:szCs w:val="16"/>
    </w:rPr>
  </w:style>
  <w:style w:type="paragraph" w:customStyle="1" w:styleId="42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43">
    <w:name w:val="TOC 标题1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4">
    <w:name w:val="批注文字 字符"/>
    <w:basedOn w:val="20"/>
    <w:link w:val="6"/>
    <w:autoRedefine/>
    <w:qFormat/>
    <w:uiPriority w:val="99"/>
    <w:rPr>
      <w:rFonts w:ascii="Calibri" w:hAnsi="Calibri" w:eastAsia="宋体" w:cs="Times New Roman"/>
    </w:rPr>
  </w:style>
  <w:style w:type="character" w:customStyle="1" w:styleId="45">
    <w:name w:val="批注主题 字符"/>
    <w:basedOn w:val="44"/>
    <w:link w:val="17"/>
    <w:autoRedefine/>
    <w:qFormat/>
    <w:uiPriority w:val="99"/>
    <w:rPr>
      <w:rFonts w:ascii="Calibri" w:hAnsi="Calibri" w:eastAsia="宋体" w:cs="Times New Roman"/>
      <w:b/>
      <w:bCs/>
    </w:rPr>
  </w:style>
  <w:style w:type="paragraph" w:customStyle="1" w:styleId="46">
    <w:name w:val="修订1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8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24691-8E68-43BA-823C-225660AAF8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3046</Words>
  <Characters>5176</Characters>
  <Lines>140</Lines>
  <Paragraphs>39</Paragraphs>
  <TotalTime>521</TotalTime>
  <ScaleCrop>false</ScaleCrop>
  <LinksUpToDate>false</LinksUpToDate>
  <CharactersWithSpaces>5478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2024-06-12T10:37:00Z</dcterms:created>
  <dc:creator>lenovo</dc:creator>
  <cp:lastModifiedBy>侯艳冰</cp:lastModifiedBy>
  <cp:lastPrinted>2023-10-30T09:45:00Z</cp:lastPrinted>
  <dcterms:modified xsi:type="dcterms:W3CDTF">2026-08-23T16:12:13Z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01AC9F1438F341E88646128FACBB3557_13</vt:lpwstr>
  </property>
  <property fmtid="{D5CDD505-2E9C-101B-9397-08002B2CF9AE}" pid="3" name="KSOProductBuildVer">
    <vt:lpwstr>2052-12.1.0.26895</vt:lpwstr>
  </property>
  <property fmtid="{D5CDD505-2E9C-101B-9397-08002B2CF9AE}" pid="4" name="KSOTemplateDocerSaveRecord">
    <vt:lpwstr>eyJoZGlkIjoiNTU3NzIzNmViNjZlZmIzZjUwMDVlOTEwMGFkM2ZkYjAiLCJ1c2VySWQiOiIxNjQ5MjQxNTQxIn0=</vt:lpwstr>
  </property>
</Properties>
</file>